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FEC2" w14:textId="77777777" w:rsidR="008660E9" w:rsidRDefault="008660E9" w:rsidP="008660E9">
      <w:pPr>
        <w:jc w:val="center"/>
        <w:rPr>
          <w:rFonts w:ascii="Calibri" w:hAnsi="Calibri" w:cs="Calibri"/>
          <w:b/>
          <w:smallCaps/>
          <w:sz w:val="44"/>
          <w:szCs w:val="44"/>
        </w:rPr>
      </w:pPr>
      <w:r>
        <w:rPr>
          <w:rFonts w:ascii="Baskerville Old Face" w:hAnsi="Baskerville Old Face"/>
          <w:b/>
          <w:noProof/>
          <w:color w:val="833C0B"/>
          <w:sz w:val="48"/>
          <w:szCs w:val="48"/>
          <w:lang w:val="en-US"/>
        </w:rPr>
        <w:drawing>
          <wp:inline distT="0" distB="0" distL="0" distR="0" wp14:anchorId="03563FAE" wp14:editId="1ED5B228">
            <wp:extent cx="3514725" cy="191862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139" cy="1927586"/>
                    </a:xfrm>
                    <a:prstGeom prst="rect">
                      <a:avLst/>
                    </a:prstGeom>
                    <a:noFill/>
                    <a:ln>
                      <a:noFill/>
                    </a:ln>
                  </pic:spPr>
                </pic:pic>
              </a:graphicData>
            </a:graphic>
          </wp:inline>
        </w:drawing>
      </w:r>
    </w:p>
    <w:p w14:paraId="32304101" w14:textId="77777777" w:rsidR="008660E9" w:rsidRDefault="008660E9" w:rsidP="008660E9">
      <w:pPr>
        <w:rPr>
          <w:rFonts w:ascii="Calibri" w:hAnsi="Calibri" w:cs="Calibri"/>
          <w:b/>
          <w:smallCaps/>
          <w:sz w:val="44"/>
          <w:szCs w:val="44"/>
        </w:rPr>
      </w:pPr>
    </w:p>
    <w:p w14:paraId="003A85D4" w14:textId="77777777" w:rsidR="008660E9" w:rsidRPr="00C7713E" w:rsidRDefault="008660E9" w:rsidP="008660E9">
      <w:pPr>
        <w:pBdr>
          <w:top w:val="thinThickSmallGap" w:sz="12" w:space="0" w:color="auto"/>
          <w:left w:val="thinThickSmallGap" w:sz="12" w:space="4" w:color="auto"/>
          <w:bottom w:val="thickThinSmallGap" w:sz="12" w:space="0" w:color="auto"/>
          <w:right w:val="thickThinSmallGap" w:sz="12" w:space="4" w:color="auto"/>
        </w:pBdr>
        <w:ind w:left="720" w:right="720"/>
        <w:jc w:val="center"/>
        <w:rPr>
          <w:rFonts w:ascii="Calibri" w:hAnsi="Calibri" w:cs="Calibri"/>
          <w:b/>
          <w:smallCaps/>
          <w:sz w:val="52"/>
          <w:szCs w:val="52"/>
          <w:lang w:val="fr-FR"/>
        </w:rPr>
      </w:pPr>
      <w:bookmarkStart w:id="0" w:name="_GoBack"/>
      <w:bookmarkEnd w:id="0"/>
    </w:p>
    <w:p w14:paraId="602CCDE9" w14:textId="7CCA90AB" w:rsidR="008660E9" w:rsidRPr="004E7EF4" w:rsidRDefault="005E55F6" w:rsidP="008660E9">
      <w:pPr>
        <w:pBdr>
          <w:top w:val="thinThickSmallGap" w:sz="12" w:space="0" w:color="auto"/>
          <w:left w:val="thinThickSmallGap" w:sz="12" w:space="4" w:color="auto"/>
          <w:bottom w:val="thickThinSmallGap" w:sz="12" w:space="0" w:color="auto"/>
          <w:right w:val="thickThinSmallGap" w:sz="12" w:space="4" w:color="auto"/>
        </w:pBdr>
        <w:ind w:left="720" w:right="720"/>
        <w:jc w:val="center"/>
        <w:rPr>
          <w:rFonts w:ascii="Times New Roman" w:hAnsi="Times New Roman" w:cs="Times New Roman"/>
          <w:b/>
          <w:smallCaps/>
          <w:sz w:val="52"/>
          <w:szCs w:val="56"/>
          <w:lang w:val="fr-FR"/>
        </w:rPr>
      </w:pPr>
      <w:r w:rsidRPr="004E7EF4">
        <w:rPr>
          <w:rFonts w:ascii="Times New Roman" w:hAnsi="Times New Roman" w:cs="Times New Roman"/>
          <w:color w:val="000000"/>
          <w:sz w:val="28"/>
          <w:szCs w:val="30"/>
          <w:shd w:val="clear" w:color="auto" w:fill="FFFFFF"/>
          <w:lang w:val="fr-FR"/>
        </w:rPr>
        <w:t xml:space="preserve">NORMES ET PROCÉDURES DE L’AETCA POUR L’ACCRÉDITATION DES PROGRAMMES OUVERTS, </w:t>
      </w:r>
      <w:r w:rsidR="004E7EF4">
        <w:rPr>
          <w:rFonts w:ascii="Times New Roman" w:hAnsi="Times New Roman" w:cs="Times New Roman"/>
          <w:color w:val="000000"/>
          <w:sz w:val="28"/>
          <w:szCs w:val="30"/>
          <w:shd w:val="clear" w:color="auto" w:fill="FFFFFF"/>
          <w:lang w:val="fr-FR"/>
        </w:rPr>
        <w:t xml:space="preserve">D’APPRENTISSAGE </w:t>
      </w:r>
      <w:r w:rsidRPr="004E7EF4">
        <w:rPr>
          <w:rFonts w:ascii="Times New Roman" w:hAnsi="Times New Roman" w:cs="Times New Roman"/>
          <w:color w:val="000000"/>
          <w:sz w:val="28"/>
          <w:szCs w:val="30"/>
          <w:shd w:val="clear" w:color="auto" w:fill="FFFFFF"/>
          <w:lang w:val="fr-FR"/>
        </w:rPr>
        <w:t>À DISTANCE ET ÉLECTRONIQUES</w:t>
      </w:r>
    </w:p>
    <w:p w14:paraId="31E450D1" w14:textId="22E787F9" w:rsidR="008660E9" w:rsidRPr="00C7713E" w:rsidRDefault="005E55F6" w:rsidP="008660E9">
      <w:pPr>
        <w:pBdr>
          <w:top w:val="thinThickSmallGap" w:sz="12" w:space="0" w:color="auto"/>
          <w:left w:val="thinThickSmallGap" w:sz="12" w:space="4" w:color="auto"/>
          <w:bottom w:val="thickThinSmallGap" w:sz="12" w:space="0" w:color="auto"/>
          <w:right w:val="thickThinSmallGap" w:sz="12" w:space="4" w:color="auto"/>
        </w:pBdr>
        <w:ind w:left="720" w:right="720"/>
        <w:jc w:val="center"/>
        <w:rPr>
          <w:rFonts w:ascii="Cambria" w:hAnsi="Cambria" w:cs="Calibri"/>
          <w:smallCaps/>
          <w:sz w:val="48"/>
          <w:szCs w:val="56"/>
          <w:lang w:val="fr-FR"/>
        </w:rPr>
      </w:pPr>
      <w:r w:rsidRPr="00C7713E">
        <w:rPr>
          <w:rFonts w:ascii="Cambria" w:hAnsi="Cambria" w:cs="Calibri"/>
          <w:smallCaps/>
          <w:sz w:val="48"/>
          <w:szCs w:val="56"/>
          <w:lang w:val="fr-FR"/>
        </w:rPr>
        <w:t>(</w:t>
      </w:r>
      <w:r w:rsidR="004E7EF4">
        <w:rPr>
          <w:rFonts w:ascii="Cambria" w:hAnsi="Cambria" w:cs="Calibri"/>
          <w:smallCaps/>
          <w:sz w:val="48"/>
          <w:szCs w:val="56"/>
          <w:lang w:val="fr-FR"/>
        </w:rPr>
        <w:t>POADE</w:t>
      </w:r>
      <w:r w:rsidRPr="00C7713E">
        <w:rPr>
          <w:rFonts w:ascii="Cambria" w:hAnsi="Cambria" w:cs="Calibri"/>
          <w:smallCaps/>
          <w:sz w:val="48"/>
          <w:szCs w:val="56"/>
          <w:lang w:val="fr-FR"/>
        </w:rPr>
        <w:t>)</w:t>
      </w:r>
    </w:p>
    <w:p w14:paraId="1EFD3CBE" w14:textId="77777777" w:rsidR="008660E9" w:rsidRPr="00C7713E" w:rsidRDefault="008660E9" w:rsidP="008660E9">
      <w:pPr>
        <w:ind w:left="720"/>
        <w:jc w:val="center"/>
        <w:rPr>
          <w:rFonts w:ascii="Calibri" w:hAnsi="Calibri" w:cs="Calibri"/>
          <w:i/>
          <w:sz w:val="21"/>
          <w:lang w:val="fr-FR"/>
        </w:rPr>
      </w:pPr>
    </w:p>
    <w:p w14:paraId="740FFE31" w14:textId="77777777" w:rsidR="008660E9" w:rsidRPr="00C7713E" w:rsidRDefault="008660E9" w:rsidP="008660E9">
      <w:pPr>
        <w:rPr>
          <w:rFonts w:ascii="Calibri" w:hAnsi="Calibri" w:cs="Calibri"/>
          <w:i/>
          <w:sz w:val="21"/>
          <w:lang w:val="fr-FR"/>
        </w:rPr>
      </w:pPr>
    </w:p>
    <w:p w14:paraId="24978E58" w14:textId="77777777" w:rsidR="008660E9" w:rsidRPr="00C7713E" w:rsidRDefault="008660E9" w:rsidP="008660E9">
      <w:pPr>
        <w:ind w:left="720"/>
        <w:jc w:val="center"/>
        <w:rPr>
          <w:rFonts w:ascii="Calibri" w:hAnsi="Calibri" w:cs="Calibri"/>
          <w:i/>
          <w:sz w:val="21"/>
          <w:lang w:val="fr-FR"/>
        </w:rPr>
      </w:pPr>
    </w:p>
    <w:p w14:paraId="653C9936" w14:textId="53DB5C64" w:rsidR="008660E9" w:rsidRPr="00C7713E" w:rsidRDefault="00C7713E" w:rsidP="008660E9">
      <w:pPr>
        <w:jc w:val="center"/>
        <w:rPr>
          <w:rFonts w:ascii="Calibri" w:hAnsi="Calibri" w:cs="Calibri"/>
          <w:b/>
          <w:sz w:val="32"/>
          <w:szCs w:val="32"/>
          <w:lang w:val="fr-FR"/>
        </w:rPr>
      </w:pPr>
      <w:r>
        <w:rPr>
          <w:rFonts w:ascii="Calibri" w:hAnsi="Calibri" w:cs="Calibri"/>
          <w:b/>
          <w:sz w:val="32"/>
          <w:szCs w:val="32"/>
          <w:lang w:val="fr-FR"/>
        </w:rPr>
        <w:t>L’</w:t>
      </w:r>
      <w:r w:rsidR="008660E9" w:rsidRPr="00C7713E">
        <w:rPr>
          <w:rFonts w:ascii="Calibri" w:hAnsi="Calibri" w:cs="Calibri"/>
          <w:b/>
          <w:sz w:val="32"/>
          <w:szCs w:val="32"/>
          <w:lang w:val="fr-FR"/>
        </w:rPr>
        <w:t xml:space="preserve">Association </w:t>
      </w:r>
      <w:r>
        <w:rPr>
          <w:rFonts w:ascii="Calibri" w:hAnsi="Calibri" w:cs="Calibri"/>
          <w:b/>
          <w:sz w:val="32"/>
          <w:szCs w:val="32"/>
          <w:lang w:val="fr-FR"/>
        </w:rPr>
        <w:t>pour</w:t>
      </w:r>
      <w:r w:rsidR="008660E9" w:rsidRPr="00C7713E">
        <w:rPr>
          <w:rFonts w:ascii="Calibri" w:hAnsi="Calibri" w:cs="Calibri"/>
          <w:b/>
          <w:sz w:val="32"/>
          <w:szCs w:val="32"/>
          <w:lang w:val="fr-FR"/>
        </w:rPr>
        <w:t xml:space="preserve"> </w:t>
      </w:r>
    </w:p>
    <w:p w14:paraId="60CEA540" w14:textId="019766F2" w:rsidR="008660E9" w:rsidRPr="00C7713E" w:rsidRDefault="00C7713E" w:rsidP="008660E9">
      <w:pPr>
        <w:jc w:val="center"/>
        <w:rPr>
          <w:rFonts w:ascii="Calibri" w:hAnsi="Calibri" w:cs="Calibri"/>
          <w:b/>
          <w:sz w:val="32"/>
          <w:szCs w:val="32"/>
          <w:lang w:val="fr-FR"/>
        </w:rPr>
      </w:pPr>
      <w:r>
        <w:rPr>
          <w:rFonts w:ascii="Calibri" w:hAnsi="Calibri" w:cs="Calibri"/>
          <w:b/>
          <w:sz w:val="32"/>
          <w:szCs w:val="32"/>
          <w:lang w:val="fr-FR"/>
        </w:rPr>
        <w:t>L’Education Théologique Chrétienne en Afrique</w:t>
      </w:r>
    </w:p>
    <w:p w14:paraId="72A67305" w14:textId="77777777" w:rsidR="008660E9" w:rsidRPr="00C7713E" w:rsidRDefault="008660E9" w:rsidP="008660E9">
      <w:pPr>
        <w:jc w:val="center"/>
        <w:rPr>
          <w:rFonts w:ascii="Calibri" w:hAnsi="Calibri" w:cs="Calibri"/>
          <w:i/>
          <w:sz w:val="21"/>
          <w:lang w:val="fr-FR"/>
        </w:rPr>
      </w:pPr>
    </w:p>
    <w:p w14:paraId="769780CC" w14:textId="6517C3C5" w:rsidR="008660E9" w:rsidRPr="00C7713E" w:rsidRDefault="008660E9" w:rsidP="008660E9">
      <w:pPr>
        <w:pStyle w:val="PlainText"/>
        <w:jc w:val="center"/>
        <w:rPr>
          <w:rFonts w:ascii="Cambria" w:hAnsi="Cambria" w:cs="Times New Roman"/>
          <w:sz w:val="24"/>
          <w:lang w:val="fr-FR"/>
        </w:rPr>
      </w:pPr>
      <w:r w:rsidRPr="00C7713E">
        <w:rPr>
          <w:rFonts w:ascii="Calibri" w:hAnsi="Calibri" w:cs="Calibri"/>
          <w:lang w:val="fr-FR"/>
        </w:rPr>
        <w:t xml:space="preserve">© </w:t>
      </w:r>
      <w:r w:rsidR="005E55F6" w:rsidRPr="00C7713E">
        <w:rPr>
          <w:rFonts w:ascii="Cambria" w:hAnsi="Cambria" w:cs="Calibri"/>
          <w:sz w:val="24"/>
          <w:lang w:val="fr-FR"/>
        </w:rPr>
        <w:t xml:space="preserve">23 </w:t>
      </w:r>
      <w:r w:rsidRPr="00C7713E">
        <w:rPr>
          <w:rFonts w:ascii="Cambria" w:hAnsi="Cambria" w:cs="Times New Roman"/>
          <w:i/>
          <w:iCs/>
          <w:sz w:val="24"/>
          <w:lang w:val="fr-FR"/>
        </w:rPr>
        <w:t>Octob</w:t>
      </w:r>
      <w:r w:rsidR="005E55F6" w:rsidRPr="00C7713E">
        <w:rPr>
          <w:rFonts w:ascii="Cambria" w:hAnsi="Cambria" w:cs="Times New Roman"/>
          <w:i/>
          <w:iCs/>
          <w:sz w:val="24"/>
          <w:lang w:val="fr-FR"/>
        </w:rPr>
        <w:t>re</w:t>
      </w:r>
      <w:r w:rsidRPr="00C7713E">
        <w:rPr>
          <w:rFonts w:ascii="Cambria" w:hAnsi="Cambria" w:cs="Times New Roman"/>
          <w:i/>
          <w:iCs/>
          <w:sz w:val="24"/>
          <w:lang w:val="fr-FR"/>
        </w:rPr>
        <w:t>, 2020</w:t>
      </w:r>
    </w:p>
    <w:p w14:paraId="2D350739" w14:textId="77777777" w:rsidR="008660E9" w:rsidRPr="00C7713E" w:rsidRDefault="008660E9" w:rsidP="008660E9">
      <w:pPr>
        <w:jc w:val="center"/>
        <w:rPr>
          <w:rFonts w:ascii="Calibri" w:hAnsi="Calibri" w:cs="Calibri"/>
          <w:lang w:val="fr-FR"/>
        </w:rPr>
      </w:pPr>
    </w:p>
    <w:p w14:paraId="6662EBF3" w14:textId="77777777" w:rsidR="008660E9" w:rsidRPr="00C7713E" w:rsidRDefault="008660E9" w:rsidP="008660E9">
      <w:pPr>
        <w:jc w:val="center"/>
        <w:rPr>
          <w:rFonts w:ascii="Calibri" w:hAnsi="Calibri" w:cs="Calibri"/>
          <w:lang w:val="fr-FR"/>
        </w:rPr>
      </w:pPr>
    </w:p>
    <w:p w14:paraId="7C02A5BC" w14:textId="77777777" w:rsidR="008660E9" w:rsidRPr="00C7713E" w:rsidRDefault="008660E9" w:rsidP="008660E9">
      <w:pPr>
        <w:jc w:val="center"/>
        <w:rPr>
          <w:rFonts w:ascii="Calibri" w:hAnsi="Calibri" w:cs="Calibri"/>
          <w:lang w:val="fr-FR"/>
        </w:rPr>
      </w:pPr>
    </w:p>
    <w:p w14:paraId="1D346DD9" w14:textId="77777777" w:rsidR="008E55F9" w:rsidRPr="00C7713E" w:rsidRDefault="008E55F9" w:rsidP="00277FBB">
      <w:pPr>
        <w:rPr>
          <w:rFonts w:ascii="Cambria" w:hAnsi="Cambria" w:cs="Times New Roman"/>
          <w:b/>
          <w:bCs/>
          <w:sz w:val="32"/>
          <w:szCs w:val="32"/>
          <w:lang w:val="fr-FR"/>
        </w:rPr>
      </w:pPr>
    </w:p>
    <w:p w14:paraId="2E58D92A" w14:textId="77777777" w:rsidR="0016601F" w:rsidRPr="00C7713E" w:rsidRDefault="0016601F" w:rsidP="007E4965">
      <w:pPr>
        <w:pStyle w:val="PlainText"/>
        <w:jc w:val="center"/>
        <w:rPr>
          <w:rFonts w:ascii="Cambria" w:hAnsi="Cambria" w:cs="Times New Roman"/>
          <w:b/>
          <w:bCs/>
          <w:color w:val="C45911" w:themeColor="accent2" w:themeShade="BF"/>
          <w:sz w:val="24"/>
          <w:lang w:val="fr-FR"/>
        </w:rPr>
      </w:pPr>
    </w:p>
    <w:p w14:paraId="2AA2CC74" w14:textId="77777777" w:rsidR="0016601F" w:rsidRPr="00C7713E" w:rsidRDefault="0016601F" w:rsidP="007E4965">
      <w:pPr>
        <w:pStyle w:val="PlainText"/>
        <w:jc w:val="center"/>
        <w:rPr>
          <w:rFonts w:ascii="Cambria" w:hAnsi="Cambria" w:cs="Times New Roman"/>
          <w:b/>
          <w:bCs/>
          <w:color w:val="C45911" w:themeColor="accent2" w:themeShade="BF"/>
          <w:sz w:val="24"/>
          <w:lang w:val="fr-FR"/>
        </w:rPr>
      </w:pPr>
    </w:p>
    <w:p w14:paraId="76E99341" w14:textId="77777777" w:rsidR="004E7EF4" w:rsidRDefault="004E7EF4" w:rsidP="007E4965">
      <w:pPr>
        <w:pStyle w:val="PlainText"/>
        <w:jc w:val="center"/>
        <w:rPr>
          <w:rFonts w:ascii="Cambria" w:hAnsi="Cambria" w:cs="Times New Roman"/>
          <w:b/>
          <w:bCs/>
          <w:color w:val="C45911" w:themeColor="accent2" w:themeShade="BF"/>
          <w:sz w:val="24"/>
          <w:lang w:val="fr-FR"/>
        </w:rPr>
      </w:pPr>
    </w:p>
    <w:p w14:paraId="79C32D81" w14:textId="77777777" w:rsidR="004E7EF4" w:rsidRDefault="004E7EF4" w:rsidP="007E4965">
      <w:pPr>
        <w:pStyle w:val="PlainText"/>
        <w:jc w:val="center"/>
        <w:rPr>
          <w:rFonts w:ascii="Cambria" w:hAnsi="Cambria" w:cs="Times New Roman"/>
          <w:b/>
          <w:bCs/>
          <w:color w:val="C45911" w:themeColor="accent2" w:themeShade="BF"/>
          <w:sz w:val="24"/>
          <w:lang w:val="fr-FR"/>
        </w:rPr>
      </w:pPr>
    </w:p>
    <w:p w14:paraId="4FB5A8AC" w14:textId="77777777" w:rsidR="004E7EF4" w:rsidRDefault="004E7EF4" w:rsidP="007E4965">
      <w:pPr>
        <w:pStyle w:val="PlainText"/>
        <w:jc w:val="center"/>
        <w:rPr>
          <w:rFonts w:ascii="Cambria" w:hAnsi="Cambria" w:cs="Times New Roman"/>
          <w:b/>
          <w:bCs/>
          <w:color w:val="C45911" w:themeColor="accent2" w:themeShade="BF"/>
          <w:sz w:val="24"/>
          <w:lang w:val="fr-FR"/>
        </w:rPr>
      </w:pPr>
    </w:p>
    <w:p w14:paraId="3CF0FE1D" w14:textId="218FF47B" w:rsidR="007E4965" w:rsidRPr="004E7EF4" w:rsidRDefault="007E4965" w:rsidP="007E4965">
      <w:pPr>
        <w:pStyle w:val="PlainText"/>
        <w:jc w:val="center"/>
        <w:rPr>
          <w:rFonts w:ascii="Times New Roman" w:hAnsi="Times New Roman" w:cs="Times New Roman"/>
          <w:b/>
          <w:bCs/>
          <w:color w:val="C45911" w:themeColor="accent2" w:themeShade="BF"/>
          <w:sz w:val="24"/>
          <w:lang w:val="fr-FR"/>
        </w:rPr>
      </w:pPr>
      <w:r w:rsidRPr="004E7EF4">
        <w:rPr>
          <w:rFonts w:ascii="Times New Roman" w:hAnsi="Times New Roman" w:cs="Times New Roman"/>
          <w:b/>
          <w:bCs/>
          <w:color w:val="C45911" w:themeColor="accent2" w:themeShade="BF"/>
          <w:sz w:val="24"/>
          <w:lang w:val="fr-FR"/>
        </w:rPr>
        <w:lastRenderedPageBreak/>
        <w:t xml:space="preserve">PREFACE </w:t>
      </w:r>
    </w:p>
    <w:p w14:paraId="45EDFC40" w14:textId="27580EC9" w:rsidR="007E4965" w:rsidRPr="00C7713E" w:rsidRDefault="004E7EF4" w:rsidP="00C94B21">
      <w:pPr>
        <w:pStyle w:val="PlainText"/>
        <w:jc w:val="both"/>
        <w:rPr>
          <w:rFonts w:ascii="Times New Roman" w:hAnsi="Times New Roman" w:cs="Times New Roman"/>
          <w:sz w:val="24"/>
          <w:lang w:val="fr-FR"/>
        </w:rPr>
      </w:pPr>
      <w:r w:rsidRPr="004E7EF4">
        <w:rPr>
          <w:rFonts w:ascii="Times New Roman" w:hAnsi="Times New Roman" w:cs="Times New Roman"/>
          <w:sz w:val="24"/>
          <w:lang w:val="fr-FR"/>
        </w:rPr>
        <w:t>L’Association pour l’Education Chrétienne en Afrique</w:t>
      </w:r>
      <w:r w:rsidR="005E55F6" w:rsidRPr="004E7EF4">
        <w:rPr>
          <w:rFonts w:ascii="Times New Roman" w:hAnsi="Times New Roman" w:cs="Times New Roman"/>
          <w:sz w:val="24"/>
          <w:lang w:val="fr-FR"/>
        </w:rPr>
        <w:t xml:space="preserve"> (A</w:t>
      </w:r>
      <w:r w:rsidRPr="004E7EF4">
        <w:rPr>
          <w:rFonts w:ascii="Times New Roman" w:hAnsi="Times New Roman" w:cs="Times New Roman"/>
          <w:sz w:val="24"/>
          <w:lang w:val="fr-FR"/>
        </w:rPr>
        <w:t>ET</w:t>
      </w:r>
      <w:r w:rsidR="005E55F6" w:rsidRPr="004E7EF4">
        <w:rPr>
          <w:rFonts w:ascii="Times New Roman" w:hAnsi="Times New Roman" w:cs="Times New Roman"/>
          <w:sz w:val="24"/>
          <w:lang w:val="fr-FR"/>
        </w:rPr>
        <w:t>CA) reconnaît l’urgence de fournir des normes d’accréditation pour les programmes d’apprentissage ouvert, à distance et électronique (</w:t>
      </w:r>
      <w:r>
        <w:rPr>
          <w:rFonts w:ascii="Times New Roman" w:hAnsi="Times New Roman" w:cs="Times New Roman"/>
          <w:sz w:val="24"/>
          <w:lang w:val="fr-FR"/>
        </w:rPr>
        <w:t>POADE</w:t>
      </w:r>
      <w:r w:rsidR="005E55F6" w:rsidRPr="004E7EF4">
        <w:rPr>
          <w:rFonts w:ascii="Times New Roman" w:hAnsi="Times New Roman" w:cs="Times New Roman"/>
          <w:sz w:val="24"/>
          <w:lang w:val="fr-FR"/>
        </w:rPr>
        <w:t>). Ce document présente les normes et procédures de l’A</w:t>
      </w:r>
      <w:r>
        <w:rPr>
          <w:rFonts w:ascii="Times New Roman" w:hAnsi="Times New Roman" w:cs="Times New Roman"/>
          <w:sz w:val="24"/>
          <w:lang w:val="fr-FR"/>
        </w:rPr>
        <w:t>ETCA</w:t>
      </w:r>
      <w:r w:rsidR="005E55F6" w:rsidRPr="004E7EF4">
        <w:rPr>
          <w:rFonts w:ascii="Times New Roman" w:hAnsi="Times New Roman" w:cs="Times New Roman"/>
          <w:sz w:val="24"/>
          <w:lang w:val="fr-FR"/>
        </w:rPr>
        <w:t xml:space="preserve"> pour l’accréditation des programmes d’enseignement théologique au niveau postsecondaire et </w:t>
      </w:r>
      <w:r w:rsidRPr="004E7EF4">
        <w:rPr>
          <w:rFonts w:ascii="Times New Roman" w:hAnsi="Times New Roman" w:cs="Times New Roman"/>
          <w:sz w:val="24"/>
          <w:lang w:val="fr-FR"/>
        </w:rPr>
        <w:t>postuniversitaire</w:t>
      </w:r>
      <w:r w:rsidR="005E55F6" w:rsidRPr="004E7EF4">
        <w:rPr>
          <w:rFonts w:ascii="Times New Roman" w:hAnsi="Times New Roman" w:cs="Times New Roman"/>
          <w:sz w:val="24"/>
          <w:lang w:val="fr-FR"/>
        </w:rPr>
        <w:t>, offerts à distance et en ligne</w:t>
      </w:r>
      <w:r w:rsidR="007E4965" w:rsidRPr="00C7713E">
        <w:rPr>
          <w:rFonts w:ascii="Times New Roman" w:hAnsi="Times New Roman" w:cs="Times New Roman"/>
          <w:sz w:val="24"/>
          <w:lang w:val="fr-FR"/>
        </w:rPr>
        <w:t xml:space="preserve">. </w:t>
      </w:r>
    </w:p>
    <w:p w14:paraId="684BF0C2" w14:textId="44602BFA" w:rsidR="008660E9" w:rsidRPr="00C7713E" w:rsidRDefault="008660E9" w:rsidP="00C94B21">
      <w:pPr>
        <w:pStyle w:val="PlainText"/>
        <w:jc w:val="both"/>
        <w:rPr>
          <w:rFonts w:ascii="Cambria" w:hAnsi="Cambria" w:cs="Times New Roman"/>
          <w:sz w:val="24"/>
          <w:lang w:val="fr-FR"/>
        </w:rPr>
      </w:pPr>
    </w:p>
    <w:sdt>
      <w:sdtPr>
        <w:rPr>
          <w:rFonts w:ascii="Times New Roman" w:eastAsiaTheme="minorHAnsi" w:hAnsi="Times New Roman" w:cs="Times New Roman"/>
          <w:color w:val="auto"/>
          <w:sz w:val="24"/>
          <w:szCs w:val="24"/>
          <w:lang w:val="fr-FR"/>
        </w:rPr>
        <w:id w:val="-329143780"/>
        <w:docPartObj>
          <w:docPartGallery w:val="Table of Contents"/>
          <w:docPartUnique/>
        </w:docPartObj>
      </w:sdtPr>
      <w:sdtEndPr>
        <w:rPr>
          <w:rFonts w:asciiTheme="minorHAnsi" w:hAnsiTheme="minorHAnsi" w:cstheme="minorBidi"/>
          <w:b/>
          <w:bCs/>
          <w:noProof/>
          <w:sz w:val="22"/>
          <w:szCs w:val="22"/>
        </w:rPr>
      </w:sdtEndPr>
      <w:sdtContent>
        <w:p w14:paraId="74BE2473" w14:textId="6C87DF5A" w:rsidR="0016601F" w:rsidRPr="004E7EF4" w:rsidRDefault="005E55F6" w:rsidP="0016601F">
          <w:pPr>
            <w:pStyle w:val="TOCHeading"/>
            <w:rPr>
              <w:rFonts w:ascii="Times New Roman" w:hAnsi="Times New Roman" w:cs="Times New Roman"/>
              <w:b/>
              <w:bCs/>
              <w:color w:val="C45911" w:themeColor="accent2" w:themeShade="BF"/>
              <w:sz w:val="24"/>
              <w:szCs w:val="24"/>
              <w:lang w:val="fr-FR"/>
            </w:rPr>
          </w:pPr>
          <w:r w:rsidRPr="004E7EF4">
            <w:rPr>
              <w:rFonts w:ascii="Times New Roman" w:hAnsi="Times New Roman" w:cs="Times New Roman"/>
              <w:b/>
              <w:bCs/>
              <w:color w:val="C45911" w:themeColor="accent2" w:themeShade="BF"/>
              <w:sz w:val="24"/>
              <w:szCs w:val="24"/>
              <w:lang w:val="fr-FR"/>
            </w:rPr>
            <w:t xml:space="preserve">Table des </w:t>
          </w:r>
          <w:r w:rsidR="004E7EF4" w:rsidRPr="004E7EF4">
            <w:rPr>
              <w:rFonts w:ascii="Times New Roman" w:hAnsi="Times New Roman" w:cs="Times New Roman"/>
              <w:b/>
              <w:bCs/>
              <w:color w:val="C45911" w:themeColor="accent2" w:themeShade="BF"/>
              <w:sz w:val="24"/>
              <w:szCs w:val="24"/>
              <w:lang w:val="fr-FR"/>
            </w:rPr>
            <w:t>Matières</w:t>
          </w:r>
        </w:p>
        <w:p w14:paraId="3E96588C" w14:textId="11BAD563" w:rsidR="008660E9" w:rsidRPr="004E7EF4" w:rsidRDefault="008660E9">
          <w:pPr>
            <w:pStyle w:val="TOC1"/>
            <w:tabs>
              <w:tab w:val="right" w:leader="dot" w:pos="9016"/>
            </w:tabs>
            <w:rPr>
              <w:rFonts w:ascii="Times New Roman" w:hAnsi="Times New Roman" w:cs="Times New Roman"/>
              <w:noProof/>
              <w:color w:val="C45911" w:themeColor="accent2" w:themeShade="BF"/>
              <w:sz w:val="24"/>
              <w:szCs w:val="24"/>
              <w:lang w:val="fr-FR"/>
            </w:rPr>
          </w:pPr>
          <w:r w:rsidRPr="004E7EF4">
            <w:rPr>
              <w:rFonts w:ascii="Times New Roman" w:hAnsi="Times New Roman" w:cs="Times New Roman"/>
              <w:color w:val="C45911" w:themeColor="accent2" w:themeShade="BF"/>
              <w:sz w:val="24"/>
              <w:szCs w:val="24"/>
              <w:lang w:val="fr-FR"/>
            </w:rPr>
            <w:fldChar w:fldCharType="begin"/>
          </w:r>
          <w:r w:rsidRPr="004E7EF4">
            <w:rPr>
              <w:rFonts w:ascii="Times New Roman" w:hAnsi="Times New Roman" w:cs="Times New Roman"/>
              <w:color w:val="C45911" w:themeColor="accent2" w:themeShade="BF"/>
              <w:sz w:val="24"/>
              <w:szCs w:val="24"/>
              <w:lang w:val="fr-FR"/>
            </w:rPr>
            <w:instrText xml:space="preserve"> TOC \o "1-3" \h \z \u </w:instrText>
          </w:r>
          <w:r w:rsidRPr="004E7EF4">
            <w:rPr>
              <w:rFonts w:ascii="Times New Roman" w:hAnsi="Times New Roman" w:cs="Times New Roman"/>
              <w:color w:val="C45911" w:themeColor="accent2" w:themeShade="BF"/>
              <w:sz w:val="24"/>
              <w:szCs w:val="24"/>
              <w:lang w:val="fr-FR"/>
            </w:rPr>
            <w:fldChar w:fldCharType="separate"/>
          </w:r>
          <w:hyperlink w:anchor="_Toc57626042" w:history="1">
            <w:r w:rsidRPr="004E7EF4">
              <w:rPr>
                <w:rStyle w:val="Hyperlink"/>
                <w:rFonts w:ascii="Times New Roman" w:hAnsi="Times New Roman" w:cs="Times New Roman"/>
                <w:b/>
                <w:bCs/>
                <w:noProof/>
                <w:color w:val="C45911" w:themeColor="accent2" w:themeShade="BF"/>
                <w:sz w:val="24"/>
                <w:szCs w:val="24"/>
                <w:lang w:val="fr-FR"/>
              </w:rPr>
              <w:t>PART</w:t>
            </w:r>
            <w:r w:rsidR="005E55F6" w:rsidRPr="004E7EF4">
              <w:rPr>
                <w:rStyle w:val="Hyperlink"/>
                <w:rFonts w:ascii="Times New Roman" w:hAnsi="Times New Roman" w:cs="Times New Roman"/>
                <w:b/>
                <w:bCs/>
                <w:noProof/>
                <w:color w:val="C45911" w:themeColor="accent2" w:themeShade="BF"/>
                <w:sz w:val="24"/>
                <w:szCs w:val="24"/>
                <w:lang w:val="fr-FR"/>
              </w:rPr>
              <w:t>IE</w:t>
            </w:r>
            <w:r w:rsidRPr="004E7EF4">
              <w:rPr>
                <w:rStyle w:val="Hyperlink"/>
                <w:rFonts w:ascii="Times New Roman" w:hAnsi="Times New Roman" w:cs="Times New Roman"/>
                <w:b/>
                <w:bCs/>
                <w:noProof/>
                <w:color w:val="C45911" w:themeColor="accent2" w:themeShade="BF"/>
                <w:sz w:val="24"/>
                <w:szCs w:val="24"/>
                <w:lang w:val="fr-FR"/>
              </w:rPr>
              <w:t xml:space="preserve"> I. INTRODUCTION</w:t>
            </w:r>
            <w:r w:rsidRPr="004E7EF4">
              <w:rPr>
                <w:rFonts w:ascii="Times New Roman" w:hAnsi="Times New Roman" w:cs="Times New Roman"/>
                <w:noProof/>
                <w:webHidden/>
                <w:color w:val="C45911" w:themeColor="accent2" w:themeShade="BF"/>
                <w:sz w:val="24"/>
                <w:szCs w:val="24"/>
                <w:lang w:val="fr-FR"/>
              </w:rPr>
              <w:tab/>
            </w:r>
            <w:r w:rsidRPr="004E7EF4">
              <w:rPr>
                <w:rFonts w:ascii="Times New Roman" w:hAnsi="Times New Roman" w:cs="Times New Roman"/>
                <w:noProof/>
                <w:webHidden/>
                <w:color w:val="C45911" w:themeColor="accent2" w:themeShade="BF"/>
                <w:sz w:val="24"/>
                <w:szCs w:val="24"/>
                <w:lang w:val="fr-FR"/>
              </w:rPr>
              <w:fldChar w:fldCharType="begin"/>
            </w:r>
            <w:r w:rsidRPr="004E7EF4">
              <w:rPr>
                <w:rFonts w:ascii="Times New Roman" w:hAnsi="Times New Roman" w:cs="Times New Roman"/>
                <w:noProof/>
                <w:webHidden/>
                <w:color w:val="C45911" w:themeColor="accent2" w:themeShade="BF"/>
                <w:sz w:val="24"/>
                <w:szCs w:val="24"/>
                <w:lang w:val="fr-FR"/>
              </w:rPr>
              <w:instrText xml:space="preserve"> PAGEREF _Toc57626042 \h </w:instrText>
            </w:r>
            <w:r w:rsidRPr="004E7EF4">
              <w:rPr>
                <w:rFonts w:ascii="Times New Roman" w:hAnsi="Times New Roman" w:cs="Times New Roman"/>
                <w:noProof/>
                <w:webHidden/>
                <w:color w:val="C45911" w:themeColor="accent2" w:themeShade="BF"/>
                <w:sz w:val="24"/>
                <w:szCs w:val="24"/>
                <w:lang w:val="fr-FR"/>
              </w:rPr>
            </w:r>
            <w:r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3</w:t>
            </w:r>
            <w:r w:rsidRPr="004E7EF4">
              <w:rPr>
                <w:rFonts w:ascii="Times New Roman" w:hAnsi="Times New Roman" w:cs="Times New Roman"/>
                <w:noProof/>
                <w:webHidden/>
                <w:color w:val="C45911" w:themeColor="accent2" w:themeShade="BF"/>
                <w:sz w:val="24"/>
                <w:szCs w:val="24"/>
                <w:lang w:val="fr-FR"/>
              </w:rPr>
              <w:fldChar w:fldCharType="end"/>
            </w:r>
          </w:hyperlink>
        </w:p>
        <w:p w14:paraId="28CFD41E" w14:textId="4798F77A" w:rsidR="008660E9" w:rsidRPr="004E7EF4" w:rsidRDefault="00B57D00">
          <w:pPr>
            <w:pStyle w:val="TOC1"/>
            <w:tabs>
              <w:tab w:val="right" w:leader="dot" w:pos="9016"/>
            </w:tabs>
            <w:rPr>
              <w:rFonts w:ascii="Times New Roman" w:hAnsi="Times New Roman" w:cs="Times New Roman"/>
              <w:noProof/>
              <w:color w:val="C45911" w:themeColor="accent2" w:themeShade="BF"/>
              <w:sz w:val="24"/>
              <w:szCs w:val="24"/>
              <w:lang w:val="fr-FR"/>
            </w:rPr>
          </w:pPr>
          <w:hyperlink w:anchor="_Toc57626043" w:history="1">
            <w:r w:rsidR="008660E9" w:rsidRPr="004E7EF4">
              <w:rPr>
                <w:rStyle w:val="Hyperlink"/>
                <w:rFonts w:ascii="Times New Roman" w:hAnsi="Times New Roman" w:cs="Times New Roman"/>
                <w:b/>
                <w:bCs/>
                <w:noProof/>
                <w:color w:val="C45911" w:themeColor="accent2" w:themeShade="BF"/>
                <w:sz w:val="24"/>
                <w:szCs w:val="24"/>
                <w:lang w:val="fr-FR"/>
              </w:rPr>
              <w:t>PART</w:t>
            </w:r>
            <w:r w:rsidR="005E55F6" w:rsidRPr="004E7EF4">
              <w:rPr>
                <w:rStyle w:val="Hyperlink"/>
                <w:rFonts w:ascii="Times New Roman" w:hAnsi="Times New Roman" w:cs="Times New Roman"/>
                <w:b/>
                <w:bCs/>
                <w:noProof/>
                <w:color w:val="C45911" w:themeColor="accent2" w:themeShade="BF"/>
                <w:sz w:val="24"/>
                <w:szCs w:val="24"/>
                <w:lang w:val="fr-FR"/>
              </w:rPr>
              <w:t>IE</w:t>
            </w:r>
            <w:r w:rsidR="008660E9" w:rsidRPr="004E7EF4">
              <w:rPr>
                <w:rStyle w:val="Hyperlink"/>
                <w:rFonts w:ascii="Times New Roman" w:hAnsi="Times New Roman" w:cs="Times New Roman"/>
                <w:b/>
                <w:bCs/>
                <w:noProof/>
                <w:color w:val="C45911" w:themeColor="accent2" w:themeShade="BF"/>
                <w:sz w:val="24"/>
                <w:szCs w:val="24"/>
                <w:lang w:val="fr-FR"/>
              </w:rPr>
              <w:t xml:space="preserve"> II. PROCEDURES</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_Toc57626043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4</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78539B16" w14:textId="77777777" w:rsidR="005E55F6" w:rsidRPr="004E7EF4" w:rsidRDefault="005E55F6">
          <w:pPr>
            <w:pStyle w:val="TOC1"/>
            <w:tabs>
              <w:tab w:val="right" w:leader="dot" w:pos="9016"/>
            </w:tabs>
            <w:rPr>
              <w:rStyle w:val="Hyperlink"/>
              <w:rFonts w:ascii="Times New Roman" w:hAnsi="Times New Roman" w:cs="Times New Roman"/>
              <w:b/>
              <w:bCs/>
              <w:noProof/>
              <w:color w:val="C45911" w:themeColor="accent2" w:themeShade="BF"/>
              <w:sz w:val="24"/>
              <w:szCs w:val="24"/>
              <w:lang w:val="fr-FR"/>
            </w:rPr>
          </w:pPr>
          <w:r w:rsidRPr="004E7EF4">
            <w:rPr>
              <w:rStyle w:val="Hyperlink"/>
              <w:rFonts w:ascii="Times New Roman" w:hAnsi="Times New Roman" w:cs="Times New Roman"/>
              <w:b/>
              <w:bCs/>
              <w:noProof/>
              <w:color w:val="C45911" w:themeColor="accent2" w:themeShade="BF"/>
              <w:sz w:val="24"/>
              <w:szCs w:val="24"/>
              <w:lang w:val="fr-FR"/>
            </w:rPr>
            <w:t>JUSTIFICATION DE L’APPLICATION DES NORMES ODEL 5 DE L’ACTEA</w:t>
          </w:r>
        </w:p>
        <w:p w14:paraId="28E45F98" w14:textId="18CA6F84" w:rsidR="008660E9" w:rsidRPr="004E7EF4" w:rsidRDefault="00B57D00">
          <w:pPr>
            <w:pStyle w:val="TOC1"/>
            <w:tabs>
              <w:tab w:val="right" w:leader="dot" w:pos="9016"/>
            </w:tabs>
            <w:rPr>
              <w:rFonts w:ascii="Times New Roman" w:hAnsi="Times New Roman" w:cs="Times New Roman"/>
              <w:noProof/>
              <w:color w:val="C45911" w:themeColor="accent2" w:themeShade="BF"/>
              <w:sz w:val="24"/>
              <w:szCs w:val="24"/>
              <w:lang w:val="fr-FR"/>
            </w:rPr>
          </w:pPr>
          <w:hyperlink w:anchor="_Toc57626045" w:history="1">
            <w:r w:rsidR="005E55F6" w:rsidRPr="004E7EF4">
              <w:rPr>
                <w:rStyle w:val="Hyperlink"/>
                <w:rFonts w:ascii="Times New Roman" w:hAnsi="Times New Roman" w:cs="Times New Roman"/>
                <w:b/>
                <w:bCs/>
                <w:noProof/>
                <w:color w:val="C45911" w:themeColor="accent2" w:themeShade="BF"/>
                <w:sz w:val="24"/>
                <w:szCs w:val="24"/>
                <w:lang w:val="fr-FR"/>
              </w:rPr>
              <w:t xml:space="preserve">PART III. LES </w:t>
            </w:r>
            <w:r w:rsidR="004D1F7F">
              <w:rPr>
                <w:rStyle w:val="Hyperlink"/>
                <w:rFonts w:ascii="Times New Roman" w:hAnsi="Times New Roman" w:cs="Times New Roman"/>
                <w:b/>
                <w:bCs/>
                <w:noProof/>
                <w:color w:val="C45911" w:themeColor="accent2" w:themeShade="BF"/>
                <w:sz w:val="24"/>
                <w:szCs w:val="24"/>
                <w:lang w:val="fr-FR"/>
              </w:rPr>
              <w:t>NORMES</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_Toc57626045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6</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5C34172B" w14:textId="79441570" w:rsidR="008660E9" w:rsidRPr="004E7EF4" w:rsidRDefault="00B57D00">
          <w:pPr>
            <w:pStyle w:val="TOC2"/>
            <w:tabs>
              <w:tab w:val="right" w:leader="dot" w:pos="9016"/>
            </w:tabs>
            <w:rPr>
              <w:rFonts w:ascii="Times New Roman" w:hAnsi="Times New Roman" w:cs="Times New Roman"/>
              <w:noProof/>
              <w:color w:val="C45911" w:themeColor="accent2" w:themeShade="BF"/>
              <w:sz w:val="24"/>
              <w:szCs w:val="24"/>
              <w:lang w:val="fr-FR"/>
            </w:rPr>
          </w:pPr>
          <w:hyperlink w:anchor="_Toc57626046" w:history="1">
            <w:r w:rsidR="008660E9" w:rsidRPr="004E7EF4">
              <w:rPr>
                <w:rStyle w:val="Hyperlink"/>
                <w:rFonts w:ascii="Times New Roman" w:hAnsi="Times New Roman" w:cs="Times New Roman"/>
                <w:b/>
                <w:bCs/>
                <w:noProof/>
                <w:color w:val="C45911" w:themeColor="accent2" w:themeShade="BF"/>
                <w:sz w:val="24"/>
                <w:szCs w:val="24"/>
                <w:lang w:val="fr-FR"/>
              </w:rPr>
              <w:t>SECTION 1: ADMINISTRATION</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_Toc57626046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6</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5569BB5D" w14:textId="2ED1C2A4" w:rsidR="008660E9" w:rsidRPr="004E7EF4" w:rsidRDefault="00B57D00">
          <w:pPr>
            <w:pStyle w:val="TOC2"/>
            <w:tabs>
              <w:tab w:val="right" w:leader="dot" w:pos="9016"/>
            </w:tabs>
            <w:rPr>
              <w:rFonts w:ascii="Times New Roman" w:hAnsi="Times New Roman" w:cs="Times New Roman"/>
              <w:noProof/>
              <w:color w:val="C45911" w:themeColor="accent2" w:themeShade="BF"/>
              <w:sz w:val="24"/>
              <w:szCs w:val="24"/>
              <w:lang w:val="fr-FR"/>
            </w:rPr>
          </w:pPr>
          <w:hyperlink w:anchor="_Toc57626047" w:history="1">
            <w:r w:rsidR="008660E9" w:rsidRPr="004E7EF4">
              <w:rPr>
                <w:rStyle w:val="Hyperlink"/>
                <w:rFonts w:ascii="Times New Roman" w:hAnsi="Times New Roman" w:cs="Times New Roman"/>
                <w:b/>
                <w:bCs/>
                <w:noProof/>
                <w:color w:val="C45911" w:themeColor="accent2" w:themeShade="BF"/>
                <w:sz w:val="24"/>
                <w:szCs w:val="24"/>
                <w:lang w:val="fr-FR"/>
              </w:rPr>
              <w:t xml:space="preserve">SECTION 2: </w:t>
            </w:r>
            <w:r w:rsidR="005E55F6" w:rsidRPr="004E7EF4">
              <w:rPr>
                <w:rStyle w:val="Hyperlink"/>
                <w:rFonts w:ascii="Times New Roman" w:hAnsi="Times New Roman" w:cs="Times New Roman"/>
                <w:b/>
                <w:bCs/>
                <w:noProof/>
                <w:color w:val="C45911" w:themeColor="accent2" w:themeShade="BF"/>
                <w:sz w:val="24"/>
                <w:szCs w:val="24"/>
                <w:lang w:val="fr-FR"/>
              </w:rPr>
              <w:t>PERSONNEL ENSEIGNANT</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_Toc57626047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7</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5445CA75" w14:textId="66718850" w:rsidR="008660E9" w:rsidRPr="004E7EF4" w:rsidRDefault="00B57D00">
          <w:pPr>
            <w:pStyle w:val="TOC2"/>
            <w:tabs>
              <w:tab w:val="right" w:leader="dot" w:pos="9016"/>
            </w:tabs>
            <w:rPr>
              <w:rFonts w:ascii="Times New Roman" w:hAnsi="Times New Roman" w:cs="Times New Roman"/>
              <w:noProof/>
              <w:color w:val="C45911" w:themeColor="accent2" w:themeShade="BF"/>
              <w:sz w:val="24"/>
              <w:szCs w:val="24"/>
              <w:lang w:val="fr-FR"/>
            </w:rPr>
          </w:pPr>
          <w:hyperlink w:anchor="_Toc57626048" w:history="1">
            <w:r w:rsidR="008660E9" w:rsidRPr="004E7EF4">
              <w:rPr>
                <w:rStyle w:val="Hyperlink"/>
                <w:rFonts w:ascii="Times New Roman" w:hAnsi="Times New Roman" w:cs="Times New Roman"/>
                <w:b/>
                <w:bCs/>
                <w:noProof/>
                <w:color w:val="C45911" w:themeColor="accent2" w:themeShade="BF"/>
                <w:sz w:val="24"/>
                <w:szCs w:val="24"/>
                <w:lang w:val="fr-FR"/>
              </w:rPr>
              <w:t xml:space="preserve">SECTION 3: </w:t>
            </w:r>
            <w:r w:rsidR="005E55F6" w:rsidRPr="004E7EF4">
              <w:rPr>
                <w:rStyle w:val="Hyperlink"/>
                <w:rFonts w:ascii="Times New Roman" w:hAnsi="Times New Roman" w:cs="Times New Roman"/>
                <w:b/>
                <w:bCs/>
                <w:noProof/>
                <w:color w:val="C45911" w:themeColor="accent2" w:themeShade="BF"/>
                <w:sz w:val="24"/>
                <w:szCs w:val="24"/>
                <w:lang w:val="fr-FR"/>
              </w:rPr>
              <w:t>LES INSTALLATIONS/EQUIPEMENTS</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_Toc57626048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7</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1474C505" w14:textId="2C36BC60" w:rsidR="008660E9" w:rsidRPr="004E7EF4" w:rsidRDefault="00B57D00">
          <w:pPr>
            <w:pStyle w:val="TOC2"/>
            <w:tabs>
              <w:tab w:val="right" w:leader="dot" w:pos="9016"/>
            </w:tabs>
            <w:rPr>
              <w:rFonts w:ascii="Times New Roman" w:hAnsi="Times New Roman" w:cs="Times New Roman"/>
              <w:noProof/>
              <w:color w:val="C45911" w:themeColor="accent2" w:themeShade="BF"/>
              <w:sz w:val="24"/>
              <w:szCs w:val="24"/>
              <w:lang w:val="fr-FR"/>
            </w:rPr>
          </w:pPr>
          <w:hyperlink w:anchor="_Toc57626049" w:history="1">
            <w:r w:rsidR="005E55F6" w:rsidRPr="004E7EF4">
              <w:rPr>
                <w:rStyle w:val="Hyperlink"/>
                <w:rFonts w:ascii="Times New Roman" w:hAnsi="Times New Roman" w:cs="Times New Roman"/>
                <w:b/>
                <w:bCs/>
                <w:noProof/>
                <w:color w:val="C45911" w:themeColor="accent2" w:themeShade="BF"/>
                <w:sz w:val="24"/>
                <w:szCs w:val="24"/>
                <w:lang w:val="fr-FR"/>
              </w:rPr>
              <w:t xml:space="preserve">SECTION 4: </w:t>
            </w:r>
            <w:r w:rsidR="008660E9" w:rsidRPr="004E7EF4">
              <w:rPr>
                <w:rStyle w:val="Hyperlink"/>
                <w:rFonts w:ascii="Times New Roman" w:hAnsi="Times New Roman" w:cs="Times New Roman"/>
                <w:b/>
                <w:bCs/>
                <w:noProof/>
                <w:color w:val="C45911" w:themeColor="accent2" w:themeShade="BF"/>
                <w:sz w:val="24"/>
                <w:szCs w:val="24"/>
                <w:lang w:val="fr-FR"/>
              </w:rPr>
              <w:t>PROGRAMMES</w:t>
            </w:r>
            <w:r w:rsidR="005E55F6" w:rsidRPr="004E7EF4">
              <w:rPr>
                <w:rStyle w:val="Hyperlink"/>
                <w:rFonts w:ascii="Times New Roman" w:hAnsi="Times New Roman" w:cs="Times New Roman"/>
                <w:b/>
                <w:bCs/>
                <w:noProof/>
                <w:color w:val="C45911" w:themeColor="accent2" w:themeShade="BF"/>
                <w:sz w:val="24"/>
                <w:szCs w:val="24"/>
                <w:lang w:val="fr-FR"/>
              </w:rPr>
              <w:t xml:space="preserve"> EDUCATIFS</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_Toc57626049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8</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5EB7147A" w14:textId="62E00478" w:rsidR="008660E9" w:rsidRPr="004E7EF4" w:rsidRDefault="00B57D00">
          <w:pPr>
            <w:pStyle w:val="TOC2"/>
            <w:tabs>
              <w:tab w:val="right" w:leader="dot" w:pos="9016"/>
            </w:tabs>
            <w:rPr>
              <w:rFonts w:ascii="Times New Roman" w:hAnsi="Times New Roman" w:cs="Times New Roman"/>
              <w:noProof/>
              <w:color w:val="C45911" w:themeColor="accent2" w:themeShade="BF"/>
              <w:sz w:val="24"/>
              <w:szCs w:val="24"/>
              <w:lang w:val="fr-FR"/>
            </w:rPr>
          </w:pPr>
          <w:hyperlink w:anchor="_Toc57626050" w:history="1">
            <w:r w:rsidR="008660E9" w:rsidRPr="004E7EF4">
              <w:rPr>
                <w:rStyle w:val="Hyperlink"/>
                <w:rFonts w:ascii="Times New Roman" w:hAnsi="Times New Roman" w:cs="Times New Roman"/>
                <w:b/>
                <w:bCs/>
                <w:noProof/>
                <w:color w:val="C45911" w:themeColor="accent2" w:themeShade="BF"/>
                <w:sz w:val="24"/>
                <w:szCs w:val="24"/>
                <w:lang w:val="fr-FR"/>
              </w:rPr>
              <w:t xml:space="preserve">SECTION 5: </w:t>
            </w:r>
            <w:r w:rsidR="005E55F6" w:rsidRPr="004E7EF4">
              <w:rPr>
                <w:rStyle w:val="Hyperlink"/>
                <w:rFonts w:ascii="Times New Roman" w:hAnsi="Times New Roman" w:cs="Times New Roman"/>
                <w:b/>
                <w:bCs/>
                <w:noProof/>
                <w:color w:val="C45911" w:themeColor="accent2" w:themeShade="BF"/>
                <w:sz w:val="24"/>
                <w:szCs w:val="24"/>
                <w:lang w:val="fr-FR"/>
              </w:rPr>
              <w:t>LES ETUDIANTS</w:t>
            </w:r>
            <w:r w:rsidR="008660E9" w:rsidRPr="004E7EF4">
              <w:rPr>
                <w:rFonts w:ascii="Times New Roman" w:hAnsi="Times New Roman" w:cs="Times New Roman"/>
                <w:noProof/>
                <w:webHidden/>
                <w:color w:val="C45911" w:themeColor="accent2" w:themeShade="BF"/>
                <w:sz w:val="24"/>
                <w:szCs w:val="24"/>
                <w:lang w:val="fr-FR"/>
              </w:rPr>
              <w:tab/>
            </w:r>
            <w:r w:rsidR="008660E9" w:rsidRPr="004E7EF4">
              <w:rPr>
                <w:rFonts w:ascii="Times New Roman" w:hAnsi="Times New Roman" w:cs="Times New Roman"/>
                <w:noProof/>
                <w:webHidden/>
                <w:color w:val="C45911" w:themeColor="accent2" w:themeShade="BF"/>
                <w:sz w:val="24"/>
                <w:szCs w:val="24"/>
                <w:lang w:val="fr-FR"/>
              </w:rPr>
              <w:fldChar w:fldCharType="begin"/>
            </w:r>
            <w:r w:rsidR="008660E9" w:rsidRPr="004E7EF4">
              <w:rPr>
                <w:rFonts w:ascii="Times New Roman" w:hAnsi="Times New Roman" w:cs="Times New Roman"/>
                <w:noProof/>
                <w:webHidden/>
                <w:color w:val="C45911" w:themeColor="accent2" w:themeShade="BF"/>
                <w:sz w:val="24"/>
                <w:szCs w:val="24"/>
                <w:lang w:val="fr-FR"/>
              </w:rPr>
              <w:instrText xml:space="preserve"> PAGEREF _Toc57626050 \h </w:instrText>
            </w:r>
            <w:r w:rsidR="008660E9" w:rsidRPr="004E7EF4">
              <w:rPr>
                <w:rFonts w:ascii="Times New Roman" w:hAnsi="Times New Roman" w:cs="Times New Roman"/>
                <w:noProof/>
                <w:webHidden/>
                <w:color w:val="C45911" w:themeColor="accent2" w:themeShade="BF"/>
                <w:sz w:val="24"/>
                <w:szCs w:val="24"/>
                <w:lang w:val="fr-FR"/>
              </w:rPr>
            </w:r>
            <w:r w:rsidR="008660E9" w:rsidRPr="004E7EF4">
              <w:rPr>
                <w:rFonts w:ascii="Times New Roman" w:hAnsi="Times New Roman" w:cs="Times New Roman"/>
                <w:noProof/>
                <w:webHidden/>
                <w:color w:val="C45911" w:themeColor="accent2" w:themeShade="BF"/>
                <w:sz w:val="24"/>
                <w:szCs w:val="24"/>
                <w:lang w:val="fr-FR"/>
              </w:rPr>
              <w:fldChar w:fldCharType="separate"/>
            </w:r>
            <w:r w:rsidR="008A77FA">
              <w:rPr>
                <w:rFonts w:ascii="Times New Roman" w:hAnsi="Times New Roman" w:cs="Times New Roman"/>
                <w:noProof/>
                <w:webHidden/>
                <w:color w:val="C45911" w:themeColor="accent2" w:themeShade="BF"/>
                <w:sz w:val="24"/>
                <w:szCs w:val="24"/>
                <w:lang w:val="fr-FR"/>
              </w:rPr>
              <w:t>12</w:t>
            </w:r>
            <w:r w:rsidR="008660E9" w:rsidRPr="004E7EF4">
              <w:rPr>
                <w:rFonts w:ascii="Times New Roman" w:hAnsi="Times New Roman" w:cs="Times New Roman"/>
                <w:noProof/>
                <w:webHidden/>
                <w:color w:val="C45911" w:themeColor="accent2" w:themeShade="BF"/>
                <w:sz w:val="24"/>
                <w:szCs w:val="24"/>
                <w:lang w:val="fr-FR"/>
              </w:rPr>
              <w:fldChar w:fldCharType="end"/>
            </w:r>
          </w:hyperlink>
        </w:p>
        <w:p w14:paraId="0D23CBAD" w14:textId="309966FC" w:rsidR="008660E9" w:rsidRPr="00C7713E" w:rsidRDefault="008660E9">
          <w:pPr>
            <w:rPr>
              <w:lang w:val="fr-FR"/>
            </w:rPr>
          </w:pPr>
          <w:r w:rsidRPr="004E7EF4">
            <w:rPr>
              <w:rFonts w:ascii="Times New Roman" w:hAnsi="Times New Roman" w:cs="Times New Roman"/>
              <w:b/>
              <w:bCs/>
              <w:noProof/>
              <w:color w:val="C45911" w:themeColor="accent2" w:themeShade="BF"/>
              <w:sz w:val="24"/>
              <w:szCs w:val="24"/>
              <w:lang w:val="fr-FR"/>
            </w:rPr>
            <w:fldChar w:fldCharType="end"/>
          </w:r>
        </w:p>
      </w:sdtContent>
    </w:sdt>
    <w:p w14:paraId="3883E612" w14:textId="371E089F" w:rsidR="008660E9" w:rsidRPr="00C7713E" w:rsidRDefault="008660E9" w:rsidP="00C94B21">
      <w:pPr>
        <w:pStyle w:val="PlainText"/>
        <w:jc w:val="both"/>
        <w:rPr>
          <w:rFonts w:ascii="Cambria" w:hAnsi="Cambria" w:cs="Times New Roman"/>
          <w:sz w:val="24"/>
          <w:lang w:val="fr-FR"/>
        </w:rPr>
      </w:pPr>
    </w:p>
    <w:p w14:paraId="163D8B90" w14:textId="521FD7F2" w:rsidR="008660E9" w:rsidRPr="00C7713E" w:rsidRDefault="008660E9" w:rsidP="00C94B21">
      <w:pPr>
        <w:pStyle w:val="PlainText"/>
        <w:jc w:val="both"/>
        <w:rPr>
          <w:rFonts w:ascii="Cambria" w:hAnsi="Cambria" w:cs="Times New Roman"/>
          <w:sz w:val="24"/>
          <w:lang w:val="fr-FR"/>
        </w:rPr>
      </w:pPr>
    </w:p>
    <w:p w14:paraId="2AAC4771" w14:textId="2E3D7C70" w:rsidR="008660E9" w:rsidRPr="00C7713E" w:rsidRDefault="008660E9" w:rsidP="00C94B21">
      <w:pPr>
        <w:pStyle w:val="PlainText"/>
        <w:jc w:val="both"/>
        <w:rPr>
          <w:rFonts w:ascii="Cambria" w:hAnsi="Cambria" w:cs="Times New Roman"/>
          <w:sz w:val="24"/>
          <w:lang w:val="fr-FR"/>
        </w:rPr>
      </w:pPr>
    </w:p>
    <w:p w14:paraId="07DBABFC" w14:textId="1161871D" w:rsidR="008660E9" w:rsidRPr="00C7713E" w:rsidRDefault="008660E9" w:rsidP="00C94B21">
      <w:pPr>
        <w:pStyle w:val="PlainText"/>
        <w:jc w:val="both"/>
        <w:rPr>
          <w:rFonts w:ascii="Cambria" w:hAnsi="Cambria" w:cs="Times New Roman"/>
          <w:sz w:val="24"/>
          <w:lang w:val="fr-FR"/>
        </w:rPr>
      </w:pPr>
    </w:p>
    <w:p w14:paraId="65892F96" w14:textId="5AF37557" w:rsidR="008660E9" w:rsidRPr="00C7713E" w:rsidRDefault="008660E9" w:rsidP="00C94B21">
      <w:pPr>
        <w:pStyle w:val="PlainText"/>
        <w:jc w:val="both"/>
        <w:rPr>
          <w:rFonts w:ascii="Cambria" w:hAnsi="Cambria" w:cs="Times New Roman"/>
          <w:sz w:val="24"/>
          <w:lang w:val="fr-FR"/>
        </w:rPr>
      </w:pPr>
    </w:p>
    <w:p w14:paraId="48E9815E" w14:textId="4C44F9A2" w:rsidR="008660E9" w:rsidRPr="00C7713E" w:rsidRDefault="008660E9" w:rsidP="00C94B21">
      <w:pPr>
        <w:pStyle w:val="PlainText"/>
        <w:jc w:val="both"/>
        <w:rPr>
          <w:rFonts w:ascii="Cambria" w:hAnsi="Cambria" w:cs="Times New Roman"/>
          <w:sz w:val="24"/>
          <w:lang w:val="fr-FR"/>
        </w:rPr>
      </w:pPr>
    </w:p>
    <w:p w14:paraId="0D29ACCF" w14:textId="12D7410B" w:rsidR="00277FBB" w:rsidRPr="00C7713E" w:rsidRDefault="00277FBB" w:rsidP="00C94B21">
      <w:pPr>
        <w:pStyle w:val="PlainText"/>
        <w:jc w:val="both"/>
        <w:rPr>
          <w:rFonts w:ascii="Cambria" w:hAnsi="Cambria" w:cs="Times New Roman"/>
          <w:sz w:val="24"/>
          <w:lang w:val="fr-FR"/>
        </w:rPr>
      </w:pPr>
    </w:p>
    <w:p w14:paraId="66E6ED2E" w14:textId="4425E1AA" w:rsidR="00277FBB" w:rsidRPr="00C7713E" w:rsidRDefault="00277FBB" w:rsidP="00C94B21">
      <w:pPr>
        <w:pStyle w:val="PlainText"/>
        <w:jc w:val="both"/>
        <w:rPr>
          <w:rFonts w:ascii="Cambria" w:hAnsi="Cambria" w:cs="Times New Roman"/>
          <w:sz w:val="24"/>
          <w:lang w:val="fr-FR"/>
        </w:rPr>
      </w:pPr>
    </w:p>
    <w:p w14:paraId="7C4F1C6F" w14:textId="0202BAD3" w:rsidR="00277FBB" w:rsidRPr="00C7713E" w:rsidRDefault="00277FBB" w:rsidP="00C94B21">
      <w:pPr>
        <w:pStyle w:val="PlainText"/>
        <w:jc w:val="both"/>
        <w:rPr>
          <w:rFonts w:ascii="Cambria" w:hAnsi="Cambria" w:cs="Times New Roman"/>
          <w:sz w:val="24"/>
          <w:lang w:val="fr-FR"/>
        </w:rPr>
      </w:pPr>
    </w:p>
    <w:p w14:paraId="3DC5E4BA" w14:textId="6BE496A0" w:rsidR="00277FBB" w:rsidRPr="00C7713E" w:rsidRDefault="00277FBB" w:rsidP="00C94B21">
      <w:pPr>
        <w:pStyle w:val="PlainText"/>
        <w:jc w:val="both"/>
        <w:rPr>
          <w:rFonts w:ascii="Cambria" w:hAnsi="Cambria" w:cs="Times New Roman"/>
          <w:sz w:val="24"/>
          <w:lang w:val="fr-FR"/>
        </w:rPr>
      </w:pPr>
    </w:p>
    <w:p w14:paraId="3B736DEA" w14:textId="77777777" w:rsidR="00277FBB" w:rsidRPr="00C7713E" w:rsidRDefault="00277FBB" w:rsidP="00C94B21">
      <w:pPr>
        <w:pStyle w:val="PlainText"/>
        <w:jc w:val="both"/>
        <w:rPr>
          <w:rFonts w:ascii="Cambria" w:hAnsi="Cambria" w:cs="Times New Roman"/>
          <w:sz w:val="24"/>
          <w:lang w:val="fr-FR"/>
        </w:rPr>
      </w:pPr>
    </w:p>
    <w:p w14:paraId="55763E2D" w14:textId="343C3018" w:rsidR="008660E9" w:rsidRPr="00C7713E" w:rsidRDefault="008660E9" w:rsidP="00C94B21">
      <w:pPr>
        <w:pStyle w:val="PlainText"/>
        <w:jc w:val="both"/>
        <w:rPr>
          <w:rFonts w:ascii="Cambria" w:hAnsi="Cambria" w:cs="Times New Roman"/>
          <w:sz w:val="24"/>
          <w:lang w:val="fr-FR"/>
        </w:rPr>
      </w:pPr>
    </w:p>
    <w:p w14:paraId="040DEA34" w14:textId="24DE8C6F" w:rsidR="008660E9" w:rsidRPr="00C7713E" w:rsidRDefault="008660E9" w:rsidP="00C94B21">
      <w:pPr>
        <w:pStyle w:val="PlainText"/>
        <w:jc w:val="both"/>
        <w:rPr>
          <w:rFonts w:ascii="Cambria" w:hAnsi="Cambria" w:cs="Times New Roman"/>
          <w:sz w:val="24"/>
          <w:lang w:val="fr-FR"/>
        </w:rPr>
      </w:pPr>
    </w:p>
    <w:p w14:paraId="08BE3301" w14:textId="03B75514" w:rsidR="008660E9" w:rsidRPr="00C7713E" w:rsidRDefault="008660E9" w:rsidP="00C94B21">
      <w:pPr>
        <w:pStyle w:val="PlainText"/>
        <w:jc w:val="both"/>
        <w:rPr>
          <w:rFonts w:ascii="Cambria" w:hAnsi="Cambria" w:cs="Times New Roman"/>
          <w:sz w:val="24"/>
          <w:lang w:val="fr-FR"/>
        </w:rPr>
      </w:pPr>
    </w:p>
    <w:p w14:paraId="75130609" w14:textId="77777777" w:rsidR="008660E9" w:rsidRPr="00C7713E" w:rsidRDefault="008660E9" w:rsidP="00C94B21">
      <w:pPr>
        <w:pStyle w:val="PlainText"/>
        <w:jc w:val="both"/>
        <w:rPr>
          <w:rFonts w:ascii="Cambria" w:hAnsi="Cambria" w:cs="Times New Roman"/>
          <w:sz w:val="24"/>
          <w:lang w:val="fr-FR"/>
        </w:rPr>
      </w:pPr>
    </w:p>
    <w:p w14:paraId="6EC475D4" w14:textId="6BD487D1" w:rsidR="00D515FA" w:rsidRPr="00C7713E" w:rsidRDefault="008660E9" w:rsidP="008660E9">
      <w:pPr>
        <w:pStyle w:val="Heading1"/>
        <w:jc w:val="center"/>
        <w:rPr>
          <w:b/>
          <w:bCs/>
          <w:color w:val="C45911" w:themeColor="accent2" w:themeShade="BF"/>
          <w:sz w:val="56"/>
          <w:szCs w:val="56"/>
          <w:lang w:val="fr-FR"/>
        </w:rPr>
      </w:pPr>
      <w:bookmarkStart w:id="1" w:name="_Toc57626042"/>
      <w:r w:rsidRPr="00C7713E">
        <w:rPr>
          <w:b/>
          <w:bCs/>
          <w:color w:val="C45911" w:themeColor="accent2" w:themeShade="BF"/>
          <w:sz w:val="56"/>
          <w:szCs w:val="56"/>
          <w:lang w:val="fr-FR"/>
        </w:rPr>
        <w:lastRenderedPageBreak/>
        <w:t>PART</w:t>
      </w:r>
      <w:r w:rsidR="005E55F6" w:rsidRPr="00C7713E">
        <w:rPr>
          <w:b/>
          <w:bCs/>
          <w:color w:val="C45911" w:themeColor="accent2" w:themeShade="BF"/>
          <w:sz w:val="56"/>
          <w:szCs w:val="56"/>
          <w:lang w:val="fr-FR"/>
        </w:rPr>
        <w:t>IE</w:t>
      </w:r>
      <w:r w:rsidR="00E808C5">
        <w:rPr>
          <w:b/>
          <w:bCs/>
          <w:color w:val="C45911" w:themeColor="accent2" w:themeShade="BF"/>
          <w:sz w:val="56"/>
          <w:szCs w:val="56"/>
          <w:lang w:val="fr-FR"/>
        </w:rPr>
        <w:t>. I</w:t>
      </w:r>
      <w:r w:rsidR="00467C7E" w:rsidRPr="00C7713E">
        <w:rPr>
          <w:b/>
          <w:bCs/>
          <w:color w:val="C45911" w:themeColor="accent2" w:themeShade="BF"/>
          <w:sz w:val="56"/>
          <w:szCs w:val="56"/>
          <w:lang w:val="fr-FR"/>
        </w:rPr>
        <w:t> :</w:t>
      </w:r>
      <w:r w:rsidRPr="00C7713E">
        <w:rPr>
          <w:b/>
          <w:bCs/>
          <w:color w:val="C45911" w:themeColor="accent2" w:themeShade="BF"/>
          <w:sz w:val="56"/>
          <w:szCs w:val="56"/>
          <w:lang w:val="fr-FR"/>
        </w:rPr>
        <w:t xml:space="preserve"> INTRODUCTION</w:t>
      </w:r>
      <w:bookmarkEnd w:id="1"/>
    </w:p>
    <w:p w14:paraId="049AC7F1" w14:textId="3135DCA0" w:rsidR="00D515FA" w:rsidRPr="00C7713E" w:rsidRDefault="00467C7E" w:rsidP="004A259E">
      <w:pPr>
        <w:rPr>
          <w:rFonts w:ascii="Times New Roman" w:hAnsi="Times New Roman" w:cs="Times New Roman"/>
          <w:sz w:val="24"/>
          <w:lang w:val="fr-FR"/>
        </w:rPr>
      </w:pPr>
      <w:r w:rsidRPr="00C7713E">
        <w:rPr>
          <w:rFonts w:ascii="Times New Roman" w:hAnsi="Times New Roman" w:cs="Times New Roman"/>
          <w:sz w:val="24"/>
          <w:lang w:val="fr-FR"/>
        </w:rPr>
        <w:t>Le format de l’enseignement théologique autrefois offert strictement en personne dans un séminaire résidentiel, s’est élargi avec de multiples moyens non traditionnels. Beaucoup plus de gens adoptent des modes d’apprentissage à distance, en ligne ou mixtes. Alors que certains étudiants préfèrent des programmes intensifs à court terme, d’autres ne trouvent que des formats du soir ou du week-end adaptés à leurs horaires. De nombreux étudiants à temps plein s’intéressent de plus en plus à l’éducation qui ne nécessite pas le déracinement de leur famille et des communautés locales et la familiarité des lieux de travail et des églises. L’éducation ouverte, c’est-à-dire l’éducation qui tente de surmonter les obstacles du temps, de la distance, de l’âge, du lieu, du rythme et de l’espace dans le processus éducatif, gagne également en popularité. Grâce à l’éducation ouverte, les étudiants peuvent s’inscrire en tout temps et suivre des cours à leur propre rythme</w:t>
      </w:r>
      <w:r w:rsidR="00984592" w:rsidRPr="00C7713E">
        <w:rPr>
          <w:rFonts w:ascii="Times New Roman" w:hAnsi="Times New Roman" w:cs="Times New Roman"/>
          <w:sz w:val="24"/>
          <w:lang w:val="fr-FR"/>
        </w:rPr>
        <w:t xml:space="preserve">.  </w:t>
      </w:r>
    </w:p>
    <w:p w14:paraId="19070A46" w14:textId="1242D47D" w:rsidR="00D515FA" w:rsidRPr="00EE108E" w:rsidRDefault="00467C7E" w:rsidP="004A259E">
      <w:pPr>
        <w:rPr>
          <w:rFonts w:ascii="Cambria" w:hAnsi="Cambria" w:cs="Times New Roman"/>
          <w:bCs/>
          <w:sz w:val="24"/>
          <w:lang w:val="fr-FR"/>
        </w:rPr>
      </w:pPr>
      <w:r w:rsidRPr="00EE108E">
        <w:rPr>
          <w:rFonts w:ascii="Times New Roman" w:hAnsi="Times New Roman" w:cs="Times New Roman"/>
          <w:sz w:val="24"/>
          <w:lang w:val="fr-FR"/>
        </w:rPr>
        <w:t xml:space="preserve">Les </w:t>
      </w:r>
      <w:r w:rsidR="00EE108E" w:rsidRPr="00EE108E">
        <w:rPr>
          <w:rFonts w:ascii="Times New Roman" w:hAnsi="Times New Roman" w:cs="Times New Roman"/>
          <w:sz w:val="24"/>
          <w:lang w:val="fr-FR"/>
        </w:rPr>
        <w:t>institutions</w:t>
      </w:r>
      <w:r w:rsidRPr="00EE108E">
        <w:rPr>
          <w:rFonts w:ascii="Times New Roman" w:hAnsi="Times New Roman" w:cs="Times New Roman"/>
          <w:sz w:val="24"/>
          <w:lang w:val="fr-FR"/>
        </w:rPr>
        <w:t xml:space="preserve"> qui adoptent ces modèles d’apprentissage non traditionnels doivent réfléchir aux mesures de la qualité. La haute qualité des programmes ouverts, à distance et en ligne peut être développée selon des normes appropriées. Les lignes directrices fournies dans ce document orientent les institutions dans le processus de conception, de développement, de mise en œuvre, de suivi et d’évaluation de l’enseignement ouvert, à distance et amélioré par la technologie à des fins d’excellence dans l’enseignement théologique (et/ou l’enseignement supérieur chrétien). Les Normes et lignes directrices de l’ICETE pour l’éducation théologique évangélique mondiale, appelées SG-GETE 2019, fournissent un modèle pour ces normes d’accréditation. Ce document met donc en contexte le SG-GETE 2019 à l’usage </w:t>
      </w:r>
      <w:r w:rsidR="00EE108E" w:rsidRPr="00EE108E">
        <w:rPr>
          <w:rFonts w:ascii="Times New Roman" w:hAnsi="Times New Roman" w:cs="Times New Roman"/>
          <w:sz w:val="24"/>
          <w:lang w:val="fr-FR"/>
        </w:rPr>
        <w:t>des institutions de l’AETCA</w:t>
      </w:r>
      <w:r w:rsidRPr="00EE108E">
        <w:rPr>
          <w:rFonts w:ascii="Times New Roman" w:hAnsi="Times New Roman" w:cs="Times New Roman"/>
          <w:sz w:val="24"/>
          <w:lang w:val="fr-FR"/>
        </w:rPr>
        <w:t>.</w:t>
      </w:r>
      <w:r w:rsidRPr="00EE108E">
        <w:rPr>
          <w:rFonts w:ascii="Times New Roman" w:hAnsi="Times New Roman" w:cs="Times New Roman"/>
          <w:sz w:val="24"/>
          <w:lang w:val="fr-FR"/>
        </w:rPr>
        <w:br/>
        <w:t>Les terminologies courantes utilisées dans le présent document sont les suivantes</w:t>
      </w:r>
      <w:r w:rsidRPr="00EE108E">
        <w:rPr>
          <w:rFonts w:ascii="Times New Roman" w:hAnsi="Times New Roman" w:cs="Times New Roman"/>
          <w:sz w:val="24"/>
          <w:shd w:val="clear" w:color="auto" w:fill="FFFFFF"/>
          <w:lang w:val="fr-FR"/>
        </w:rPr>
        <w:t> </w:t>
      </w:r>
      <w:r w:rsidRPr="00EE108E">
        <w:rPr>
          <w:shd w:val="clear" w:color="auto" w:fill="FFFFFF"/>
          <w:lang w:val="fr-FR"/>
        </w:rPr>
        <w:t>:</w:t>
      </w:r>
      <w:r w:rsidR="00D515FA" w:rsidRPr="00EE108E">
        <w:rPr>
          <w:rFonts w:ascii="Cambria" w:hAnsi="Cambria" w:cs="Times New Roman"/>
          <w:bCs/>
          <w:sz w:val="24"/>
          <w:lang w:val="fr-FR"/>
        </w:rPr>
        <w:t xml:space="preserve"> </w:t>
      </w:r>
    </w:p>
    <w:tbl>
      <w:tblPr>
        <w:tblStyle w:val="TableGrid"/>
        <w:tblW w:w="9265" w:type="dxa"/>
        <w:tblLook w:val="04A0" w:firstRow="1" w:lastRow="0" w:firstColumn="1" w:lastColumn="0" w:noHBand="0" w:noVBand="1"/>
      </w:tblPr>
      <w:tblGrid>
        <w:gridCol w:w="9265"/>
      </w:tblGrid>
      <w:tr w:rsidR="004D7462" w:rsidRPr="00E808C5" w14:paraId="60517AFC" w14:textId="77777777" w:rsidTr="00C31D87">
        <w:trPr>
          <w:trHeight w:val="800"/>
        </w:trPr>
        <w:tc>
          <w:tcPr>
            <w:tcW w:w="9265" w:type="dxa"/>
          </w:tcPr>
          <w:p w14:paraId="3E21E45D" w14:textId="1BCBD3EB" w:rsidR="00D515FA" w:rsidRPr="00EE108E" w:rsidRDefault="00467C7E" w:rsidP="00EE108E">
            <w:pPr>
              <w:rPr>
                <w:rFonts w:ascii="Times New Roman" w:hAnsi="Times New Roman" w:cs="Times New Roman"/>
                <w:sz w:val="24"/>
                <w:szCs w:val="24"/>
                <w:lang w:val="fr-FR"/>
              </w:rPr>
            </w:pPr>
            <w:r w:rsidRPr="00EE108E">
              <w:rPr>
                <w:rFonts w:ascii="Times New Roman" w:hAnsi="Times New Roman" w:cs="Times New Roman"/>
                <w:b/>
                <w:sz w:val="24"/>
                <w:szCs w:val="24"/>
                <w:lang w:val="fr-FR"/>
              </w:rPr>
              <w:t xml:space="preserve">Éducation </w:t>
            </w:r>
            <w:r w:rsidR="00EE108E" w:rsidRPr="00EE108E">
              <w:rPr>
                <w:rFonts w:ascii="Times New Roman" w:hAnsi="Times New Roman" w:cs="Times New Roman"/>
                <w:b/>
                <w:sz w:val="24"/>
                <w:szCs w:val="24"/>
                <w:lang w:val="fr-FR"/>
              </w:rPr>
              <w:t>ouverte:</w:t>
            </w:r>
            <w:r w:rsidRPr="00EE108E">
              <w:rPr>
                <w:rFonts w:ascii="Times New Roman" w:hAnsi="Times New Roman" w:cs="Times New Roman"/>
                <w:sz w:val="24"/>
                <w:szCs w:val="24"/>
                <w:lang w:val="fr-FR"/>
              </w:rPr>
              <w:t xml:space="preserve"> désigne l’éducation qui surmonte les obstacles du temps, de la distance, de l’âge, du lieu, du rythme, de l’espace, etc</w:t>
            </w:r>
            <w:r w:rsidR="00D515FA" w:rsidRPr="00EE108E">
              <w:rPr>
                <w:rFonts w:ascii="Times New Roman" w:hAnsi="Times New Roman" w:cs="Times New Roman"/>
                <w:sz w:val="24"/>
                <w:szCs w:val="24"/>
                <w:lang w:val="fr-FR"/>
              </w:rPr>
              <w:t xml:space="preserve">. </w:t>
            </w:r>
          </w:p>
          <w:p w14:paraId="3542A1D2" w14:textId="5676BD18" w:rsidR="00D515FA" w:rsidRPr="00EE108E" w:rsidRDefault="00467C7E" w:rsidP="00EE108E">
            <w:pPr>
              <w:rPr>
                <w:rFonts w:ascii="Times New Roman" w:hAnsi="Times New Roman" w:cs="Times New Roman"/>
                <w:sz w:val="24"/>
                <w:szCs w:val="24"/>
                <w:lang w:val="fr-FR"/>
              </w:rPr>
            </w:pPr>
            <w:r w:rsidRPr="00EE108E">
              <w:rPr>
                <w:rFonts w:ascii="Times New Roman" w:hAnsi="Times New Roman" w:cs="Times New Roman"/>
                <w:b/>
                <w:sz w:val="24"/>
                <w:szCs w:val="24"/>
                <w:lang w:val="fr-FR"/>
              </w:rPr>
              <w:t>Enseignement à distance</w:t>
            </w:r>
            <w:r w:rsidRPr="00EE108E">
              <w:rPr>
                <w:rFonts w:ascii="Times New Roman" w:hAnsi="Times New Roman" w:cs="Times New Roman"/>
                <w:sz w:val="24"/>
                <w:szCs w:val="24"/>
                <w:lang w:val="fr-FR"/>
              </w:rPr>
              <w:t> : désigne tout modèle d’enseignement dans lequel l’enseignant et les apprenants sont géographiquement séparés pendant une partie ou la totalité du processus d’apprentissage. En vertu de cette définition générale, divers modèles d’enseignement peuvent être classés comme des sous-ensembles de l’enseignement à distance, y compris les études et les programmes par correspondance qui font l’objet d’une médiation technologique totale ou partielle</w:t>
            </w:r>
            <w:r w:rsidR="00EE108E" w:rsidRPr="00EE108E">
              <w:rPr>
                <w:rFonts w:ascii="Times New Roman" w:hAnsi="Times New Roman" w:cs="Times New Roman"/>
                <w:sz w:val="24"/>
                <w:szCs w:val="24"/>
                <w:lang w:val="fr-FR"/>
              </w:rPr>
              <w:t>.</w:t>
            </w:r>
            <w:r w:rsidR="00D515FA" w:rsidRPr="00EE108E">
              <w:rPr>
                <w:rFonts w:ascii="Times New Roman" w:hAnsi="Times New Roman" w:cs="Times New Roman"/>
                <w:sz w:val="24"/>
                <w:szCs w:val="24"/>
                <w:lang w:val="fr-FR"/>
              </w:rPr>
              <w:t xml:space="preserve"> </w:t>
            </w:r>
          </w:p>
          <w:p w14:paraId="5846CD8E" w14:textId="79B379B2" w:rsidR="00D515FA" w:rsidRPr="00EE108E" w:rsidRDefault="00467C7E" w:rsidP="00EE108E">
            <w:pPr>
              <w:rPr>
                <w:rFonts w:ascii="Times New Roman" w:hAnsi="Times New Roman" w:cs="Times New Roman"/>
                <w:sz w:val="24"/>
                <w:szCs w:val="24"/>
                <w:lang w:val="fr-FR"/>
              </w:rPr>
            </w:pPr>
            <w:r w:rsidRPr="00EE108E">
              <w:rPr>
                <w:rFonts w:ascii="Times New Roman" w:hAnsi="Times New Roman" w:cs="Times New Roman"/>
                <w:b/>
                <w:sz w:val="24"/>
                <w:szCs w:val="24"/>
                <w:lang w:val="fr-FR"/>
              </w:rPr>
              <w:t>Apprentissage en ligne</w:t>
            </w:r>
            <w:r w:rsidRPr="00EE108E">
              <w:rPr>
                <w:rFonts w:ascii="Times New Roman" w:hAnsi="Times New Roman" w:cs="Times New Roman"/>
                <w:sz w:val="24"/>
                <w:szCs w:val="24"/>
                <w:lang w:val="fr-FR"/>
              </w:rPr>
              <w:t> : désigne les modèles d’enseignement basés sur le Web qui sont médiatisés par Internet sans interaction physique en personne entre les formateurs et formatrices et les étudiants.</w:t>
            </w:r>
            <w:r w:rsidR="00D515FA" w:rsidRPr="00EE108E">
              <w:rPr>
                <w:rFonts w:ascii="Times New Roman" w:hAnsi="Times New Roman" w:cs="Times New Roman"/>
                <w:sz w:val="24"/>
                <w:szCs w:val="24"/>
                <w:lang w:val="fr-FR"/>
              </w:rPr>
              <w:t xml:space="preserve"> </w:t>
            </w:r>
          </w:p>
          <w:p w14:paraId="0F30DB15" w14:textId="70DCFA1A" w:rsidR="00D515FA" w:rsidRPr="00EE108E" w:rsidRDefault="00467C7E" w:rsidP="00EE108E">
            <w:pPr>
              <w:rPr>
                <w:lang w:val="fr-FR"/>
              </w:rPr>
            </w:pPr>
            <w:r w:rsidRPr="00EE108E">
              <w:rPr>
                <w:rFonts w:ascii="Times New Roman" w:hAnsi="Times New Roman" w:cs="Times New Roman"/>
                <w:b/>
                <w:sz w:val="24"/>
                <w:szCs w:val="24"/>
                <w:lang w:val="fr-FR"/>
              </w:rPr>
              <w:t>Apprentissage mixte/hybride</w:t>
            </w:r>
            <w:r w:rsidRPr="00EE108E">
              <w:rPr>
                <w:rFonts w:ascii="Times New Roman" w:hAnsi="Times New Roman" w:cs="Times New Roman"/>
                <w:sz w:val="24"/>
                <w:szCs w:val="24"/>
                <w:lang w:val="fr-FR"/>
              </w:rPr>
              <w:t> : modèle d’enseignement hybride qui combine l’enseignement en personne avec des périodes d’apprentissage en ligne ou d’autres modes d’apprentissage à distance.</w:t>
            </w:r>
          </w:p>
        </w:tc>
      </w:tr>
    </w:tbl>
    <w:p w14:paraId="093E4523" w14:textId="77777777" w:rsidR="001566F0" w:rsidRPr="00C7713E" w:rsidRDefault="001566F0" w:rsidP="001566F0">
      <w:pPr>
        <w:jc w:val="center"/>
        <w:rPr>
          <w:rFonts w:ascii="Cambria" w:hAnsi="Cambria" w:cs="Times New Roman"/>
          <w:b/>
          <w:bCs/>
          <w:sz w:val="36"/>
          <w:szCs w:val="36"/>
          <w:u w:val="single"/>
          <w:lang w:val="fr-FR"/>
        </w:rPr>
      </w:pPr>
    </w:p>
    <w:p w14:paraId="43E925B8" w14:textId="77777777" w:rsidR="008660E9" w:rsidRPr="00C7713E" w:rsidRDefault="008660E9" w:rsidP="001566F0">
      <w:pPr>
        <w:jc w:val="center"/>
        <w:rPr>
          <w:rFonts w:ascii="Cambria" w:hAnsi="Cambria" w:cs="Times New Roman"/>
          <w:b/>
          <w:bCs/>
          <w:sz w:val="36"/>
          <w:szCs w:val="36"/>
          <w:u w:val="single"/>
          <w:lang w:val="fr-FR"/>
        </w:rPr>
      </w:pPr>
    </w:p>
    <w:p w14:paraId="044C0AA0" w14:textId="77777777" w:rsidR="008660E9" w:rsidRPr="00C7713E" w:rsidRDefault="008660E9" w:rsidP="001566F0">
      <w:pPr>
        <w:jc w:val="center"/>
        <w:rPr>
          <w:rFonts w:ascii="Cambria" w:hAnsi="Cambria" w:cs="Times New Roman"/>
          <w:b/>
          <w:bCs/>
          <w:sz w:val="36"/>
          <w:szCs w:val="36"/>
          <w:u w:val="single"/>
          <w:lang w:val="fr-FR"/>
        </w:rPr>
      </w:pPr>
    </w:p>
    <w:p w14:paraId="5FC514F0" w14:textId="77777777" w:rsidR="008660E9" w:rsidRPr="00C7713E" w:rsidRDefault="008660E9" w:rsidP="001566F0">
      <w:pPr>
        <w:jc w:val="center"/>
        <w:rPr>
          <w:rFonts w:ascii="Cambria" w:hAnsi="Cambria" w:cs="Times New Roman"/>
          <w:b/>
          <w:bCs/>
          <w:sz w:val="36"/>
          <w:szCs w:val="36"/>
          <w:u w:val="single"/>
          <w:lang w:val="fr-FR"/>
        </w:rPr>
      </w:pPr>
    </w:p>
    <w:p w14:paraId="5A2268E7" w14:textId="2978598F" w:rsidR="00D515FA" w:rsidRPr="00C7713E" w:rsidRDefault="008660E9" w:rsidP="008660E9">
      <w:pPr>
        <w:pStyle w:val="Heading1"/>
        <w:jc w:val="center"/>
        <w:rPr>
          <w:b/>
          <w:bCs/>
          <w:color w:val="C45911" w:themeColor="accent2" w:themeShade="BF"/>
          <w:sz w:val="56"/>
          <w:szCs w:val="56"/>
          <w:lang w:val="fr-FR"/>
        </w:rPr>
      </w:pPr>
      <w:bookmarkStart w:id="2" w:name="_Toc57626043"/>
      <w:r w:rsidRPr="00C7713E">
        <w:rPr>
          <w:b/>
          <w:bCs/>
          <w:color w:val="C45911" w:themeColor="accent2" w:themeShade="BF"/>
          <w:sz w:val="56"/>
          <w:szCs w:val="56"/>
          <w:lang w:val="fr-FR"/>
        </w:rPr>
        <w:lastRenderedPageBreak/>
        <w:t>PART</w:t>
      </w:r>
      <w:r w:rsidR="00467C7E" w:rsidRPr="00C7713E">
        <w:rPr>
          <w:b/>
          <w:bCs/>
          <w:color w:val="C45911" w:themeColor="accent2" w:themeShade="BF"/>
          <w:sz w:val="56"/>
          <w:szCs w:val="56"/>
          <w:lang w:val="fr-FR"/>
        </w:rPr>
        <w:t>IE</w:t>
      </w:r>
      <w:r w:rsidR="00E808C5">
        <w:rPr>
          <w:b/>
          <w:bCs/>
          <w:color w:val="C45911" w:themeColor="accent2" w:themeShade="BF"/>
          <w:sz w:val="56"/>
          <w:szCs w:val="56"/>
          <w:lang w:val="fr-FR"/>
        </w:rPr>
        <w:t>. II</w:t>
      </w:r>
      <w:r w:rsidR="00467C7E" w:rsidRPr="00C7713E">
        <w:rPr>
          <w:b/>
          <w:bCs/>
          <w:color w:val="C45911" w:themeColor="accent2" w:themeShade="BF"/>
          <w:sz w:val="56"/>
          <w:szCs w:val="56"/>
          <w:lang w:val="fr-FR"/>
        </w:rPr>
        <w:t>:</w:t>
      </w:r>
      <w:r w:rsidRPr="00C7713E">
        <w:rPr>
          <w:b/>
          <w:bCs/>
          <w:color w:val="C45911" w:themeColor="accent2" w:themeShade="BF"/>
          <w:sz w:val="56"/>
          <w:szCs w:val="56"/>
          <w:lang w:val="fr-FR"/>
        </w:rPr>
        <w:t xml:space="preserve"> PROCEDURES</w:t>
      </w:r>
      <w:bookmarkEnd w:id="2"/>
    </w:p>
    <w:p w14:paraId="1DA3EBF2" w14:textId="77777777" w:rsidR="008A4040" w:rsidRPr="00C7713E" w:rsidRDefault="008A4040" w:rsidP="002F051F">
      <w:pPr>
        <w:pStyle w:val="PlainText"/>
        <w:rPr>
          <w:rFonts w:ascii="Cambria" w:hAnsi="Cambria" w:cs="Times New Roman"/>
          <w:sz w:val="24"/>
          <w:lang w:val="fr-FR"/>
        </w:rPr>
      </w:pPr>
    </w:p>
    <w:p w14:paraId="02E90A4F" w14:textId="069B2120" w:rsidR="007E4965" w:rsidRPr="00C7713E" w:rsidRDefault="00467C7E" w:rsidP="007E4965">
      <w:pPr>
        <w:spacing w:after="0" w:line="240" w:lineRule="auto"/>
        <w:rPr>
          <w:rFonts w:ascii="Times New Roman" w:hAnsi="Times New Roman" w:cs="Times New Roman"/>
          <w:b/>
          <w:sz w:val="24"/>
          <w:szCs w:val="24"/>
          <w:lang w:val="fr-FR"/>
        </w:rPr>
      </w:pPr>
      <w:r w:rsidRPr="00C7713E">
        <w:rPr>
          <w:rFonts w:ascii="Times New Roman" w:hAnsi="Times New Roman" w:cs="Times New Roman"/>
          <w:b/>
          <w:sz w:val="24"/>
          <w:szCs w:val="24"/>
          <w:lang w:val="fr-FR"/>
        </w:rPr>
        <w:t xml:space="preserve">CATÉGORIES SUGGÉRÉES D’APPLICATION DES NORMES </w:t>
      </w:r>
      <w:r w:rsidR="00EE108E">
        <w:rPr>
          <w:rFonts w:ascii="Times New Roman" w:hAnsi="Times New Roman" w:cs="Times New Roman"/>
          <w:b/>
          <w:sz w:val="24"/>
          <w:szCs w:val="24"/>
          <w:lang w:val="fr-FR"/>
        </w:rPr>
        <w:t>POADE DE L’AETC</w:t>
      </w:r>
      <w:r w:rsidRPr="00C7713E">
        <w:rPr>
          <w:rFonts w:ascii="Times New Roman" w:hAnsi="Times New Roman" w:cs="Times New Roman"/>
          <w:b/>
          <w:sz w:val="24"/>
          <w:szCs w:val="24"/>
          <w:lang w:val="fr-FR"/>
        </w:rPr>
        <w:t>A</w:t>
      </w:r>
    </w:p>
    <w:p w14:paraId="4F4D920F" w14:textId="77777777" w:rsidR="00467C7E" w:rsidRPr="00C7713E" w:rsidRDefault="00467C7E" w:rsidP="007E4965">
      <w:pPr>
        <w:spacing w:after="0" w:line="240" w:lineRule="auto"/>
        <w:rPr>
          <w:lang w:val="fr-FR"/>
        </w:rPr>
      </w:pPr>
    </w:p>
    <w:tbl>
      <w:tblPr>
        <w:tblStyle w:val="TableGrid"/>
        <w:tblW w:w="9265" w:type="dxa"/>
        <w:tblLook w:val="04A0" w:firstRow="1" w:lastRow="0" w:firstColumn="1" w:lastColumn="0" w:noHBand="0" w:noVBand="1"/>
      </w:tblPr>
      <w:tblGrid>
        <w:gridCol w:w="3040"/>
        <w:gridCol w:w="2991"/>
        <w:gridCol w:w="3234"/>
      </w:tblGrid>
      <w:tr w:rsidR="004D7462" w:rsidRPr="00C7713E" w14:paraId="3FD3ED44" w14:textId="77777777" w:rsidTr="003B376C">
        <w:tc>
          <w:tcPr>
            <w:tcW w:w="3040" w:type="dxa"/>
          </w:tcPr>
          <w:p w14:paraId="646CB9A8" w14:textId="74B18E3A" w:rsidR="007E4965" w:rsidRPr="00C7713E" w:rsidRDefault="00C250E5" w:rsidP="00A81916">
            <w:pPr>
              <w:pStyle w:val="ListParagraph"/>
              <w:ind w:left="360"/>
              <w:rPr>
                <w:rFonts w:ascii="Times New Roman" w:hAnsi="Times New Roman" w:cs="Times New Roman"/>
                <w:sz w:val="24"/>
                <w:szCs w:val="24"/>
                <w:lang w:val="fr-FR"/>
              </w:rPr>
            </w:pPr>
            <w:r w:rsidRPr="00C7713E">
              <w:rPr>
                <w:rFonts w:ascii="Times New Roman" w:hAnsi="Times New Roman" w:cs="Times New Roman"/>
                <w:b/>
                <w:sz w:val="24"/>
                <w:szCs w:val="24"/>
                <w:lang w:val="fr-FR"/>
              </w:rPr>
              <w:t xml:space="preserve">Classification des établissements par programme </w:t>
            </w:r>
            <w:r w:rsidRPr="00C7713E">
              <w:rPr>
                <w:rFonts w:ascii="Times New Roman" w:hAnsi="Times New Roman" w:cs="Times New Roman"/>
                <w:sz w:val="24"/>
                <w:szCs w:val="24"/>
                <w:lang w:val="fr-FR"/>
              </w:rPr>
              <w:t>[</w:t>
            </w:r>
            <w:r w:rsidRPr="00EE108E">
              <w:rPr>
                <w:rFonts w:ascii="Times New Roman" w:hAnsi="Times New Roman" w:cs="Times New Roman"/>
                <w:i/>
                <w:sz w:val="24"/>
                <w:szCs w:val="24"/>
                <w:lang w:val="fr-FR"/>
              </w:rPr>
              <w:t>catégories parmi les établissements ACTEA en novembre 2020</w:t>
            </w:r>
            <w:r w:rsidRPr="00C7713E">
              <w:rPr>
                <w:rFonts w:ascii="Times New Roman" w:hAnsi="Times New Roman" w:cs="Times New Roman"/>
                <w:sz w:val="24"/>
                <w:szCs w:val="24"/>
                <w:lang w:val="fr-FR"/>
              </w:rPr>
              <w:t>]</w:t>
            </w:r>
          </w:p>
        </w:tc>
        <w:tc>
          <w:tcPr>
            <w:tcW w:w="2991" w:type="dxa"/>
          </w:tcPr>
          <w:p w14:paraId="3A1B48AF" w14:textId="32165BC7" w:rsidR="007E4965" w:rsidRPr="00C7713E" w:rsidRDefault="00C250E5" w:rsidP="00EE108E">
            <w:pPr>
              <w:rPr>
                <w:rFonts w:ascii="Times New Roman" w:hAnsi="Times New Roman" w:cs="Times New Roman"/>
                <w:b/>
                <w:sz w:val="24"/>
                <w:szCs w:val="24"/>
                <w:lang w:val="fr-FR"/>
              </w:rPr>
            </w:pPr>
            <w:r w:rsidRPr="00C7713E">
              <w:rPr>
                <w:rFonts w:ascii="Times New Roman" w:hAnsi="Times New Roman" w:cs="Times New Roman"/>
                <w:b/>
                <w:sz w:val="24"/>
                <w:szCs w:val="24"/>
                <w:lang w:val="fr-FR"/>
              </w:rPr>
              <w:t xml:space="preserve">Statut d’accréditation </w:t>
            </w:r>
            <w:r w:rsidR="00EE108E">
              <w:rPr>
                <w:rFonts w:ascii="Times New Roman" w:hAnsi="Times New Roman" w:cs="Times New Roman"/>
                <w:b/>
                <w:sz w:val="24"/>
                <w:szCs w:val="24"/>
                <w:lang w:val="fr-FR"/>
              </w:rPr>
              <w:t>recherché</w:t>
            </w:r>
            <w:r w:rsidRPr="00C7713E">
              <w:rPr>
                <w:rFonts w:ascii="Times New Roman" w:hAnsi="Times New Roman" w:cs="Times New Roman"/>
                <w:b/>
                <w:sz w:val="24"/>
                <w:szCs w:val="24"/>
                <w:lang w:val="fr-FR"/>
              </w:rPr>
              <w:t xml:space="preserve"> par l’institut</w:t>
            </w:r>
          </w:p>
        </w:tc>
        <w:tc>
          <w:tcPr>
            <w:tcW w:w="3234" w:type="dxa"/>
          </w:tcPr>
          <w:p w14:paraId="43C03592" w14:textId="285CD2B9" w:rsidR="007E4965" w:rsidRPr="00C7713E" w:rsidRDefault="00C250E5" w:rsidP="00C250E5">
            <w:pPr>
              <w:rPr>
                <w:rFonts w:ascii="Times New Roman" w:hAnsi="Times New Roman" w:cs="Times New Roman"/>
                <w:b/>
                <w:sz w:val="24"/>
                <w:szCs w:val="24"/>
                <w:lang w:val="fr-FR"/>
              </w:rPr>
            </w:pPr>
            <w:r w:rsidRPr="00C7713E">
              <w:rPr>
                <w:rFonts w:ascii="Times New Roman" w:hAnsi="Times New Roman" w:cs="Times New Roman"/>
                <w:b/>
                <w:sz w:val="24"/>
                <w:szCs w:val="24"/>
                <w:lang w:val="fr-FR"/>
              </w:rPr>
              <w:t>Exigence de l’AETCA</w:t>
            </w:r>
          </w:p>
        </w:tc>
      </w:tr>
      <w:tr w:rsidR="004D7462" w:rsidRPr="00E808C5" w14:paraId="7ED86B6E" w14:textId="77777777" w:rsidTr="003B376C">
        <w:tc>
          <w:tcPr>
            <w:tcW w:w="3040" w:type="dxa"/>
          </w:tcPr>
          <w:p w14:paraId="404231A1" w14:textId="497B37A8" w:rsidR="007E4965" w:rsidRPr="00C7713E" w:rsidRDefault="004A259E" w:rsidP="00EE108E">
            <w:pPr>
              <w:pStyle w:val="ListParagraph"/>
              <w:numPr>
                <w:ilvl w:val="0"/>
                <w:numId w:val="8"/>
              </w:numPr>
              <w:rPr>
                <w:rFonts w:ascii="Times New Roman" w:hAnsi="Times New Roman" w:cs="Times New Roman"/>
                <w:sz w:val="24"/>
                <w:szCs w:val="24"/>
                <w:lang w:val="fr-FR"/>
              </w:rPr>
            </w:pPr>
            <w:r w:rsidRPr="00C7713E">
              <w:rPr>
                <w:rFonts w:ascii="Times New Roman" w:hAnsi="Times New Roman" w:cs="Times New Roman"/>
                <w:sz w:val="24"/>
                <w:szCs w:val="24"/>
                <w:lang w:val="fr-FR"/>
              </w:rPr>
              <w:t xml:space="preserve">Programme(s) </w:t>
            </w:r>
            <w:r w:rsidR="00AF4347">
              <w:rPr>
                <w:rFonts w:ascii="Times New Roman" w:hAnsi="Times New Roman" w:cs="Times New Roman"/>
                <w:sz w:val="24"/>
                <w:szCs w:val="24"/>
                <w:lang w:val="fr-FR"/>
              </w:rPr>
              <w:t>en résidentiel</w:t>
            </w:r>
            <w:r w:rsidRPr="00C7713E">
              <w:rPr>
                <w:rFonts w:ascii="Times New Roman" w:hAnsi="Times New Roman" w:cs="Times New Roman"/>
                <w:sz w:val="24"/>
                <w:szCs w:val="24"/>
                <w:lang w:val="fr-FR"/>
              </w:rPr>
              <w:t xml:space="preserve"> accrédités de l’AETCA</w:t>
            </w:r>
          </w:p>
        </w:tc>
        <w:tc>
          <w:tcPr>
            <w:tcW w:w="2991" w:type="dxa"/>
          </w:tcPr>
          <w:p w14:paraId="4676C4DB" w14:textId="551515C4" w:rsidR="007E4965" w:rsidRPr="00C7713E" w:rsidRDefault="004A259E" w:rsidP="00EE108E">
            <w:pPr>
              <w:rPr>
                <w:rFonts w:ascii="Times New Roman" w:hAnsi="Times New Roman" w:cs="Times New Roman"/>
                <w:sz w:val="24"/>
                <w:szCs w:val="24"/>
                <w:lang w:val="fr-FR"/>
              </w:rPr>
            </w:pPr>
            <w:r w:rsidRPr="00C7713E">
              <w:rPr>
                <w:rFonts w:ascii="Times New Roman" w:hAnsi="Times New Roman" w:cs="Times New Roman"/>
                <w:sz w:val="24"/>
                <w:szCs w:val="24"/>
                <w:lang w:val="fr-FR"/>
              </w:rPr>
              <w:t xml:space="preserve">Ajouter des programmes non accrédités de </w:t>
            </w:r>
            <w:r w:rsidR="00EE108E"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 xml:space="preserve"> ayant la même nomenclature que les programmes accrédités</w:t>
            </w:r>
          </w:p>
        </w:tc>
        <w:tc>
          <w:tcPr>
            <w:tcW w:w="3234" w:type="dxa"/>
          </w:tcPr>
          <w:p w14:paraId="556AD774" w14:textId="0B799800" w:rsidR="007E4965" w:rsidRPr="00C7713E" w:rsidRDefault="004A259E" w:rsidP="00EE108E">
            <w:pPr>
              <w:rPr>
                <w:rFonts w:ascii="Times New Roman" w:hAnsi="Times New Roman" w:cs="Times New Roman"/>
                <w:i/>
                <w:sz w:val="24"/>
                <w:szCs w:val="24"/>
                <w:lang w:val="fr-FR"/>
              </w:rPr>
            </w:pPr>
            <w:r w:rsidRPr="00C7713E">
              <w:rPr>
                <w:rFonts w:ascii="Times New Roman" w:hAnsi="Times New Roman" w:cs="Times New Roman"/>
                <w:sz w:val="24"/>
                <w:szCs w:val="24"/>
                <w:lang w:val="fr-FR"/>
              </w:rPr>
              <w:t xml:space="preserve">Se conformer aux normes </w:t>
            </w:r>
            <w:r w:rsidR="00EE108E"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 xml:space="preserve"> de l’A</w:t>
            </w:r>
            <w:r w:rsidR="00EE108E">
              <w:rPr>
                <w:rFonts w:ascii="Times New Roman" w:hAnsi="Times New Roman" w:cs="Times New Roman"/>
                <w:sz w:val="24"/>
                <w:szCs w:val="24"/>
                <w:lang w:val="fr-FR"/>
              </w:rPr>
              <w:t>ETCA</w:t>
            </w:r>
            <w:r w:rsidRPr="00C7713E">
              <w:rPr>
                <w:rFonts w:ascii="Times New Roman" w:hAnsi="Times New Roman" w:cs="Times New Roman"/>
                <w:sz w:val="24"/>
                <w:szCs w:val="24"/>
                <w:lang w:val="fr-FR"/>
              </w:rPr>
              <w:t xml:space="preserve"> [chaque paragraphe des normes </w:t>
            </w:r>
            <w:r w:rsidR="00EE108E"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 xml:space="preserve"> est spécifique à </w:t>
            </w:r>
            <w:r w:rsidR="00EE108E"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w:t>
            </w:r>
          </w:p>
        </w:tc>
      </w:tr>
      <w:tr w:rsidR="004D7462" w:rsidRPr="00E808C5" w14:paraId="1E9E643F" w14:textId="77777777" w:rsidTr="003B376C">
        <w:tc>
          <w:tcPr>
            <w:tcW w:w="3040" w:type="dxa"/>
          </w:tcPr>
          <w:p w14:paraId="4F9E698D" w14:textId="2F1FA39C" w:rsidR="007E4965" w:rsidRPr="00C7713E" w:rsidRDefault="004A259E" w:rsidP="00EE108E">
            <w:pPr>
              <w:pStyle w:val="ListParagraph"/>
              <w:numPr>
                <w:ilvl w:val="0"/>
                <w:numId w:val="8"/>
              </w:numPr>
              <w:rPr>
                <w:rFonts w:ascii="Times New Roman" w:hAnsi="Times New Roman" w:cs="Times New Roman"/>
                <w:sz w:val="24"/>
                <w:szCs w:val="24"/>
                <w:lang w:val="fr-FR"/>
              </w:rPr>
            </w:pPr>
            <w:r w:rsidRPr="00C7713E">
              <w:rPr>
                <w:rFonts w:ascii="Times New Roman" w:hAnsi="Times New Roman" w:cs="Times New Roman"/>
                <w:sz w:val="24"/>
                <w:szCs w:val="24"/>
                <w:lang w:val="fr-FR"/>
              </w:rPr>
              <w:t>Programme(s) de résidents accréd</w:t>
            </w:r>
            <w:r w:rsidR="00EE108E">
              <w:rPr>
                <w:rFonts w:ascii="Times New Roman" w:hAnsi="Times New Roman" w:cs="Times New Roman"/>
                <w:sz w:val="24"/>
                <w:szCs w:val="24"/>
                <w:lang w:val="fr-FR"/>
              </w:rPr>
              <w:t>ités du statut d’associé de l’AE</w:t>
            </w:r>
            <w:r w:rsidRPr="00C7713E">
              <w:rPr>
                <w:rFonts w:ascii="Times New Roman" w:hAnsi="Times New Roman" w:cs="Times New Roman"/>
                <w:sz w:val="24"/>
                <w:szCs w:val="24"/>
                <w:lang w:val="fr-FR"/>
              </w:rPr>
              <w:t>T</w:t>
            </w:r>
            <w:r w:rsidR="00EE108E">
              <w:rPr>
                <w:rFonts w:ascii="Times New Roman" w:hAnsi="Times New Roman" w:cs="Times New Roman"/>
                <w:sz w:val="24"/>
                <w:szCs w:val="24"/>
                <w:lang w:val="fr-FR"/>
              </w:rPr>
              <w:t>C</w:t>
            </w:r>
            <w:r w:rsidRPr="00C7713E">
              <w:rPr>
                <w:rFonts w:ascii="Times New Roman" w:hAnsi="Times New Roman" w:cs="Times New Roman"/>
                <w:sz w:val="24"/>
                <w:szCs w:val="24"/>
                <w:lang w:val="fr-FR"/>
              </w:rPr>
              <w:t>A</w:t>
            </w:r>
          </w:p>
        </w:tc>
        <w:tc>
          <w:tcPr>
            <w:tcW w:w="2991" w:type="dxa"/>
          </w:tcPr>
          <w:p w14:paraId="0B44132D" w14:textId="47911737" w:rsidR="007E4965" w:rsidRPr="00C7713E" w:rsidRDefault="004A259E" w:rsidP="00EE108E">
            <w:pPr>
              <w:rPr>
                <w:rFonts w:ascii="Times New Roman" w:hAnsi="Times New Roman" w:cs="Times New Roman"/>
                <w:sz w:val="24"/>
                <w:szCs w:val="24"/>
                <w:lang w:val="fr-FR"/>
              </w:rPr>
            </w:pPr>
            <w:r w:rsidRPr="00C7713E">
              <w:rPr>
                <w:rFonts w:ascii="Times New Roman" w:hAnsi="Times New Roman" w:cs="Times New Roman"/>
                <w:sz w:val="24"/>
                <w:szCs w:val="24"/>
                <w:lang w:val="fr-FR"/>
              </w:rPr>
              <w:t>Ajouter des programmes non accrédités d</w:t>
            </w:r>
            <w:r w:rsidR="00EE108E">
              <w:rPr>
                <w:rFonts w:ascii="Times New Roman" w:hAnsi="Times New Roman" w:cs="Times New Roman"/>
                <w:sz w:val="24"/>
                <w:szCs w:val="24"/>
                <w:lang w:val="fr-FR"/>
              </w:rPr>
              <w:t>u</w:t>
            </w:r>
            <w:r w:rsidRPr="00C7713E">
              <w:rPr>
                <w:rFonts w:ascii="Times New Roman" w:hAnsi="Times New Roman" w:cs="Times New Roman"/>
                <w:sz w:val="24"/>
                <w:szCs w:val="24"/>
                <w:lang w:val="fr-FR"/>
              </w:rPr>
              <w:t xml:space="preserve"> </w:t>
            </w:r>
            <w:r w:rsidR="00EE108E"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 xml:space="preserve"> ayant la même nomenclature que les programmes accrédités</w:t>
            </w:r>
          </w:p>
        </w:tc>
        <w:tc>
          <w:tcPr>
            <w:tcW w:w="3234" w:type="dxa"/>
          </w:tcPr>
          <w:p w14:paraId="4DA06DBA" w14:textId="3575A85C" w:rsidR="007E4965" w:rsidRPr="00C7713E" w:rsidRDefault="004A259E" w:rsidP="00AF4347">
            <w:pPr>
              <w:rPr>
                <w:rFonts w:ascii="Times New Roman" w:hAnsi="Times New Roman" w:cs="Times New Roman"/>
                <w:i/>
                <w:sz w:val="24"/>
                <w:szCs w:val="24"/>
                <w:lang w:val="fr-FR"/>
              </w:rPr>
            </w:pPr>
            <w:r w:rsidRPr="00C7713E">
              <w:rPr>
                <w:rFonts w:ascii="Times New Roman" w:hAnsi="Times New Roman" w:cs="Times New Roman"/>
                <w:sz w:val="24"/>
                <w:szCs w:val="24"/>
                <w:lang w:val="fr-FR"/>
              </w:rPr>
              <w:t xml:space="preserve">Se conformer aux normes </w:t>
            </w:r>
            <w:r w:rsidR="00EE108E"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 xml:space="preserve"> de l’A</w:t>
            </w:r>
            <w:r w:rsidR="00EE108E">
              <w:rPr>
                <w:rFonts w:ascii="Times New Roman" w:hAnsi="Times New Roman" w:cs="Times New Roman"/>
                <w:sz w:val="24"/>
                <w:szCs w:val="24"/>
                <w:lang w:val="fr-FR"/>
              </w:rPr>
              <w:t>ETCA</w:t>
            </w:r>
            <w:r w:rsidRPr="00C7713E">
              <w:rPr>
                <w:rFonts w:ascii="Times New Roman" w:hAnsi="Times New Roman" w:cs="Times New Roman"/>
                <w:sz w:val="24"/>
                <w:szCs w:val="24"/>
                <w:lang w:val="fr-FR"/>
              </w:rPr>
              <w:t xml:space="preserve"> [noter  au point 2 de « Justification de la demande » si le programme </w:t>
            </w:r>
            <w:r w:rsidR="00AF4347" w:rsidRPr="00EE108E">
              <w:rPr>
                <w:rFonts w:ascii="Times New Roman" w:hAnsi="Times New Roman" w:cs="Times New Roman"/>
                <w:i/>
                <w:sz w:val="24"/>
                <w:szCs w:val="24"/>
                <w:lang w:val="fr-FR"/>
              </w:rPr>
              <w:t>POADE</w:t>
            </w:r>
            <w:r w:rsidR="00AF4347">
              <w:rPr>
                <w:rFonts w:ascii="Times New Roman" w:hAnsi="Times New Roman" w:cs="Times New Roman"/>
                <w:sz w:val="24"/>
                <w:szCs w:val="24"/>
                <w:lang w:val="fr-FR"/>
              </w:rPr>
              <w:t xml:space="preserve"> est accrédité, mais pas par l’AETCA</w:t>
            </w:r>
            <w:r w:rsidRPr="00C7713E">
              <w:rPr>
                <w:rFonts w:ascii="Times New Roman" w:hAnsi="Times New Roman" w:cs="Times New Roman"/>
                <w:sz w:val="24"/>
                <w:szCs w:val="24"/>
                <w:lang w:val="fr-FR"/>
              </w:rPr>
              <w:t>]</w:t>
            </w:r>
          </w:p>
        </w:tc>
      </w:tr>
      <w:tr w:rsidR="004D7462" w:rsidRPr="00E808C5" w14:paraId="55E60F3E" w14:textId="77777777" w:rsidTr="003B376C">
        <w:tc>
          <w:tcPr>
            <w:tcW w:w="3040" w:type="dxa"/>
          </w:tcPr>
          <w:p w14:paraId="3D78790A" w14:textId="41B27255" w:rsidR="007E4965" w:rsidRPr="00C7713E" w:rsidRDefault="004A259E" w:rsidP="00AF4347">
            <w:pPr>
              <w:pStyle w:val="ListParagraph"/>
              <w:numPr>
                <w:ilvl w:val="0"/>
                <w:numId w:val="8"/>
              </w:numPr>
              <w:rPr>
                <w:rFonts w:ascii="Times New Roman" w:hAnsi="Times New Roman" w:cs="Times New Roman"/>
                <w:sz w:val="24"/>
                <w:szCs w:val="24"/>
                <w:lang w:val="fr-FR"/>
              </w:rPr>
            </w:pPr>
            <w:r w:rsidRPr="00C7713E">
              <w:rPr>
                <w:rFonts w:ascii="Times New Roman" w:hAnsi="Times New Roman" w:cs="Times New Roman"/>
                <w:sz w:val="24"/>
                <w:szCs w:val="24"/>
                <w:lang w:val="fr-FR"/>
              </w:rPr>
              <w:t>Programme(s) reconnu(s) sans accréditation A</w:t>
            </w:r>
            <w:r w:rsidR="00AF4347">
              <w:rPr>
                <w:rFonts w:ascii="Times New Roman" w:hAnsi="Times New Roman" w:cs="Times New Roman"/>
                <w:sz w:val="24"/>
                <w:szCs w:val="24"/>
                <w:lang w:val="fr-FR"/>
              </w:rPr>
              <w:t>ETCA</w:t>
            </w:r>
          </w:p>
        </w:tc>
        <w:tc>
          <w:tcPr>
            <w:tcW w:w="2991" w:type="dxa"/>
          </w:tcPr>
          <w:p w14:paraId="51C8384B" w14:textId="3BCD2FE2" w:rsidR="007E4965" w:rsidRPr="00C7713E" w:rsidRDefault="004A259E" w:rsidP="00AF4347">
            <w:pPr>
              <w:rPr>
                <w:rFonts w:ascii="Times New Roman" w:hAnsi="Times New Roman" w:cs="Times New Roman"/>
                <w:sz w:val="24"/>
                <w:szCs w:val="24"/>
                <w:lang w:val="fr-FR"/>
              </w:rPr>
            </w:pPr>
            <w:r w:rsidRPr="00C7713E">
              <w:rPr>
                <w:rFonts w:ascii="Times New Roman" w:hAnsi="Times New Roman" w:cs="Times New Roman"/>
                <w:sz w:val="24"/>
                <w:szCs w:val="24"/>
                <w:lang w:val="fr-FR"/>
              </w:rPr>
              <w:t>Demander l’accréditation A</w:t>
            </w:r>
            <w:r w:rsidR="00AF4347">
              <w:rPr>
                <w:rFonts w:ascii="Times New Roman" w:hAnsi="Times New Roman" w:cs="Times New Roman"/>
                <w:sz w:val="24"/>
                <w:szCs w:val="24"/>
                <w:lang w:val="fr-FR"/>
              </w:rPr>
              <w:t>ETCA</w:t>
            </w:r>
            <w:r w:rsidRPr="00C7713E">
              <w:rPr>
                <w:rFonts w:ascii="Times New Roman" w:hAnsi="Times New Roman" w:cs="Times New Roman"/>
                <w:sz w:val="24"/>
                <w:szCs w:val="24"/>
                <w:lang w:val="fr-FR"/>
              </w:rPr>
              <w:t xml:space="preserve"> du (des) programme(s) </w:t>
            </w:r>
            <w:r w:rsidR="00AF4347" w:rsidRPr="00EE108E">
              <w:rPr>
                <w:rFonts w:ascii="Times New Roman" w:hAnsi="Times New Roman" w:cs="Times New Roman"/>
                <w:i/>
                <w:sz w:val="24"/>
                <w:szCs w:val="24"/>
                <w:lang w:val="fr-FR"/>
              </w:rPr>
              <w:t>POADE</w:t>
            </w:r>
            <w:r w:rsidRPr="00C7713E">
              <w:rPr>
                <w:rFonts w:ascii="Times New Roman" w:hAnsi="Times New Roman" w:cs="Times New Roman"/>
                <w:sz w:val="24"/>
                <w:szCs w:val="24"/>
                <w:lang w:val="fr-FR"/>
              </w:rPr>
              <w:t xml:space="preserve"> uniquement</w:t>
            </w:r>
          </w:p>
        </w:tc>
        <w:tc>
          <w:tcPr>
            <w:tcW w:w="3234" w:type="dxa"/>
          </w:tcPr>
          <w:p w14:paraId="09246FEA" w14:textId="42654449" w:rsidR="007E4965" w:rsidRPr="00C7713E" w:rsidRDefault="004A259E" w:rsidP="00AF4347">
            <w:pPr>
              <w:rPr>
                <w:rFonts w:ascii="Times New Roman" w:hAnsi="Times New Roman" w:cs="Times New Roman"/>
                <w:i/>
                <w:sz w:val="24"/>
                <w:szCs w:val="24"/>
                <w:lang w:val="fr-FR"/>
              </w:rPr>
            </w:pPr>
            <w:r w:rsidRPr="00C7713E">
              <w:rPr>
                <w:rFonts w:ascii="Times New Roman" w:hAnsi="Times New Roman" w:cs="Times New Roman"/>
                <w:sz w:val="24"/>
                <w:szCs w:val="24"/>
                <w:lang w:val="fr-FR"/>
              </w:rPr>
              <w:t xml:space="preserve">Se conformer de façon sélective aux normes </w:t>
            </w:r>
            <w:r w:rsidR="00AF4347" w:rsidRPr="00EE108E">
              <w:rPr>
                <w:rFonts w:ascii="Times New Roman" w:hAnsi="Times New Roman" w:cs="Times New Roman"/>
                <w:i/>
                <w:sz w:val="24"/>
                <w:szCs w:val="24"/>
                <w:lang w:val="fr-FR"/>
              </w:rPr>
              <w:t>POADE</w:t>
            </w:r>
            <w:r w:rsidR="00AF4347" w:rsidRPr="00C7713E">
              <w:rPr>
                <w:rFonts w:ascii="Times New Roman" w:hAnsi="Times New Roman" w:cs="Times New Roman"/>
                <w:sz w:val="24"/>
                <w:szCs w:val="24"/>
                <w:lang w:val="fr-FR"/>
              </w:rPr>
              <w:t xml:space="preserve"> </w:t>
            </w:r>
            <w:r w:rsidR="00AF4347">
              <w:rPr>
                <w:rFonts w:ascii="Times New Roman" w:hAnsi="Times New Roman" w:cs="Times New Roman"/>
                <w:sz w:val="24"/>
                <w:szCs w:val="24"/>
                <w:lang w:val="fr-FR"/>
              </w:rPr>
              <w:t>d’</w:t>
            </w:r>
            <w:r w:rsidRPr="00C7713E">
              <w:rPr>
                <w:rFonts w:ascii="Times New Roman" w:hAnsi="Times New Roman" w:cs="Times New Roman"/>
                <w:sz w:val="24"/>
                <w:szCs w:val="24"/>
                <w:lang w:val="fr-FR"/>
              </w:rPr>
              <w:t>A</w:t>
            </w:r>
            <w:r w:rsidR="00AF4347">
              <w:rPr>
                <w:rFonts w:ascii="Times New Roman" w:hAnsi="Times New Roman" w:cs="Times New Roman"/>
                <w:sz w:val="24"/>
                <w:szCs w:val="24"/>
                <w:lang w:val="fr-FR"/>
              </w:rPr>
              <w:t>ETCA</w:t>
            </w:r>
            <w:r w:rsidRPr="00C7713E">
              <w:rPr>
                <w:rFonts w:ascii="Times New Roman" w:hAnsi="Times New Roman" w:cs="Times New Roman"/>
                <w:sz w:val="24"/>
                <w:szCs w:val="24"/>
                <w:lang w:val="fr-FR"/>
              </w:rPr>
              <w:t xml:space="preserve"> [paragraphes pour la conformité à préciser lors de l’examen du processus d’</w:t>
            </w:r>
            <w:r w:rsidR="00AF4347">
              <w:rPr>
                <w:rFonts w:ascii="Times New Roman" w:hAnsi="Times New Roman" w:cs="Times New Roman"/>
                <w:sz w:val="24"/>
                <w:szCs w:val="24"/>
                <w:lang w:val="fr-FR"/>
              </w:rPr>
              <w:t>accréditation préalable par l’AETCA</w:t>
            </w:r>
            <w:r w:rsidRPr="00C7713E">
              <w:rPr>
                <w:rFonts w:ascii="Times New Roman" w:hAnsi="Times New Roman" w:cs="Times New Roman"/>
                <w:sz w:val="24"/>
                <w:szCs w:val="24"/>
                <w:lang w:val="fr-FR"/>
              </w:rPr>
              <w:t>]</w:t>
            </w:r>
          </w:p>
        </w:tc>
      </w:tr>
      <w:tr w:rsidR="004D7462" w:rsidRPr="00E808C5" w14:paraId="4906B437" w14:textId="77777777" w:rsidTr="003B376C">
        <w:tc>
          <w:tcPr>
            <w:tcW w:w="3040" w:type="dxa"/>
          </w:tcPr>
          <w:p w14:paraId="75E38FF1" w14:textId="46C0CAED" w:rsidR="007E4965" w:rsidRPr="00C7713E" w:rsidRDefault="004A259E" w:rsidP="00AF4347">
            <w:pPr>
              <w:pStyle w:val="ListParagraph"/>
              <w:numPr>
                <w:ilvl w:val="0"/>
                <w:numId w:val="8"/>
              </w:numPr>
              <w:rPr>
                <w:rFonts w:ascii="Times New Roman" w:hAnsi="Times New Roman" w:cs="Times New Roman"/>
                <w:sz w:val="24"/>
                <w:szCs w:val="24"/>
                <w:lang w:val="fr-FR"/>
              </w:rPr>
            </w:pPr>
            <w:r w:rsidRPr="00C7713E">
              <w:rPr>
                <w:rFonts w:ascii="Times New Roman" w:hAnsi="Times New Roman" w:cs="Times New Roman"/>
                <w:sz w:val="24"/>
                <w:szCs w:val="24"/>
                <w:lang w:val="fr-FR"/>
              </w:rPr>
              <w:t>Accrédita</w:t>
            </w:r>
            <w:r w:rsidR="00AF4347">
              <w:rPr>
                <w:rFonts w:ascii="Times New Roman" w:hAnsi="Times New Roman" w:cs="Times New Roman"/>
                <w:sz w:val="24"/>
                <w:szCs w:val="24"/>
                <w:lang w:val="fr-FR"/>
              </w:rPr>
              <w:t>tion du statut d’affilié de l’AETCA</w:t>
            </w:r>
            <w:r w:rsidRPr="00C7713E">
              <w:rPr>
                <w:rFonts w:ascii="Times New Roman" w:hAnsi="Times New Roman" w:cs="Times New Roman"/>
                <w:sz w:val="24"/>
                <w:szCs w:val="24"/>
                <w:lang w:val="fr-FR"/>
              </w:rPr>
              <w:t xml:space="preserve"> pour les programmes </w:t>
            </w:r>
            <w:r w:rsidR="00AF4347">
              <w:rPr>
                <w:rFonts w:ascii="Times New Roman" w:hAnsi="Times New Roman" w:cs="Times New Roman"/>
                <w:sz w:val="24"/>
                <w:szCs w:val="24"/>
                <w:lang w:val="fr-FR"/>
              </w:rPr>
              <w:t>en résidentiel</w:t>
            </w:r>
          </w:p>
        </w:tc>
        <w:tc>
          <w:tcPr>
            <w:tcW w:w="2991" w:type="dxa"/>
          </w:tcPr>
          <w:p w14:paraId="36160943" w14:textId="6D35B25F" w:rsidR="007E4965" w:rsidRPr="00C7713E" w:rsidRDefault="004A259E" w:rsidP="00AF4347">
            <w:pPr>
              <w:rPr>
                <w:rFonts w:ascii="Times New Roman" w:hAnsi="Times New Roman" w:cs="Times New Roman"/>
                <w:sz w:val="24"/>
                <w:szCs w:val="24"/>
                <w:lang w:val="fr-FR"/>
              </w:rPr>
            </w:pPr>
            <w:r w:rsidRPr="00C7713E">
              <w:rPr>
                <w:rFonts w:ascii="Times New Roman" w:hAnsi="Times New Roman" w:cs="Times New Roman"/>
                <w:sz w:val="24"/>
                <w:szCs w:val="24"/>
                <w:lang w:val="fr-FR"/>
              </w:rPr>
              <w:t xml:space="preserve">Postuler pour </w:t>
            </w:r>
            <w:r w:rsidR="00AF4347">
              <w:rPr>
                <w:rFonts w:ascii="Times New Roman" w:hAnsi="Times New Roman" w:cs="Times New Roman"/>
                <w:sz w:val="24"/>
                <w:szCs w:val="24"/>
                <w:lang w:val="fr-FR"/>
              </w:rPr>
              <w:t xml:space="preserve">l’Accréditation du </w:t>
            </w:r>
            <w:r w:rsidR="00AF4347" w:rsidRPr="00EE108E">
              <w:rPr>
                <w:rFonts w:ascii="Times New Roman" w:hAnsi="Times New Roman" w:cs="Times New Roman"/>
                <w:i/>
                <w:sz w:val="24"/>
                <w:szCs w:val="24"/>
                <w:lang w:val="fr-FR"/>
              </w:rPr>
              <w:t>POADE</w:t>
            </w:r>
            <w:r w:rsidR="00AF4347" w:rsidRPr="00C7713E">
              <w:rPr>
                <w:rFonts w:ascii="Times New Roman" w:hAnsi="Times New Roman" w:cs="Times New Roman"/>
                <w:sz w:val="24"/>
                <w:szCs w:val="24"/>
                <w:lang w:val="fr-FR"/>
              </w:rPr>
              <w:t xml:space="preserve"> </w:t>
            </w:r>
            <w:r w:rsidR="00AF4347">
              <w:rPr>
                <w:rFonts w:ascii="Times New Roman" w:hAnsi="Times New Roman" w:cs="Times New Roman"/>
                <w:sz w:val="24"/>
                <w:szCs w:val="24"/>
                <w:lang w:val="fr-FR"/>
              </w:rPr>
              <w:t xml:space="preserve"> de l’AETCA </w:t>
            </w:r>
            <w:r w:rsidRPr="00C7713E">
              <w:rPr>
                <w:rFonts w:ascii="Times New Roman" w:hAnsi="Times New Roman" w:cs="Times New Roman"/>
                <w:sz w:val="24"/>
                <w:szCs w:val="24"/>
                <w:lang w:val="fr-FR"/>
              </w:rPr>
              <w:t xml:space="preserve"> avec la même nomenclature que </w:t>
            </w:r>
            <w:r w:rsidR="00AF4347">
              <w:rPr>
                <w:rFonts w:ascii="Times New Roman" w:hAnsi="Times New Roman" w:cs="Times New Roman"/>
                <w:sz w:val="24"/>
                <w:szCs w:val="24"/>
                <w:lang w:val="fr-FR"/>
              </w:rPr>
              <w:t>le programme en résidentiel du Statut affilié</w:t>
            </w:r>
          </w:p>
        </w:tc>
        <w:tc>
          <w:tcPr>
            <w:tcW w:w="3234" w:type="dxa"/>
          </w:tcPr>
          <w:p w14:paraId="066E1ACC" w14:textId="19B568E4" w:rsidR="007E4965" w:rsidRPr="00C7713E" w:rsidRDefault="006C5869" w:rsidP="00A81916">
            <w:pPr>
              <w:rPr>
                <w:rFonts w:ascii="Times New Roman" w:hAnsi="Times New Roman" w:cs="Times New Roman"/>
                <w:sz w:val="24"/>
                <w:szCs w:val="24"/>
                <w:lang w:val="fr-FR"/>
              </w:rPr>
            </w:pPr>
            <w:r w:rsidRPr="00C7713E">
              <w:rPr>
                <w:rFonts w:ascii="Times New Roman" w:hAnsi="Times New Roman" w:cs="Times New Roman"/>
                <w:sz w:val="24"/>
                <w:szCs w:val="24"/>
                <w:lang w:val="fr-FR"/>
              </w:rPr>
              <w:t xml:space="preserve">Se conformer aux normes d’accréditation du statut d’affilié similaires fondées sur les normes </w:t>
            </w:r>
            <w:r w:rsidR="00AF4347" w:rsidRPr="00EE108E">
              <w:rPr>
                <w:rFonts w:ascii="Times New Roman" w:hAnsi="Times New Roman" w:cs="Times New Roman"/>
                <w:i/>
                <w:sz w:val="24"/>
                <w:szCs w:val="24"/>
                <w:lang w:val="fr-FR"/>
              </w:rPr>
              <w:t>POADE</w:t>
            </w:r>
          </w:p>
        </w:tc>
      </w:tr>
      <w:tr w:rsidR="004D7462" w:rsidRPr="00E808C5" w14:paraId="1627AE8F" w14:textId="77777777" w:rsidTr="003B376C">
        <w:tc>
          <w:tcPr>
            <w:tcW w:w="3040" w:type="dxa"/>
          </w:tcPr>
          <w:p w14:paraId="213C6CFC" w14:textId="02A1411D" w:rsidR="007E4965" w:rsidRPr="00C7713E" w:rsidRDefault="00AF4347" w:rsidP="006C5869">
            <w:pPr>
              <w:pStyle w:val="ListParagraph"/>
              <w:numPr>
                <w:ilvl w:val="0"/>
                <w:numId w:val="8"/>
              </w:numPr>
              <w:rPr>
                <w:rFonts w:ascii="Times New Roman" w:hAnsi="Times New Roman" w:cs="Times New Roman"/>
                <w:sz w:val="24"/>
                <w:szCs w:val="24"/>
                <w:lang w:val="fr-FR"/>
              </w:rPr>
            </w:pPr>
            <w:r>
              <w:rPr>
                <w:rFonts w:ascii="Times New Roman" w:hAnsi="Times New Roman" w:cs="Times New Roman"/>
                <w:sz w:val="24"/>
                <w:szCs w:val="24"/>
                <w:lang w:val="fr-FR"/>
              </w:rPr>
              <w:t>Aucune accréditation de l’AETC</w:t>
            </w:r>
            <w:r w:rsidR="006C5869" w:rsidRPr="00C7713E">
              <w:rPr>
                <w:rFonts w:ascii="Times New Roman" w:hAnsi="Times New Roman" w:cs="Times New Roman"/>
                <w:sz w:val="24"/>
                <w:szCs w:val="24"/>
                <w:lang w:val="fr-FR"/>
              </w:rPr>
              <w:t xml:space="preserve">A ni aucune autre accréditation reconnue d’un résident ou d’un ou de plusieurs programmes de </w:t>
            </w:r>
            <w:r w:rsidRPr="00EE108E">
              <w:rPr>
                <w:rFonts w:ascii="Times New Roman" w:hAnsi="Times New Roman" w:cs="Times New Roman"/>
                <w:i/>
                <w:sz w:val="24"/>
                <w:szCs w:val="24"/>
                <w:lang w:val="fr-FR"/>
              </w:rPr>
              <w:t>POADE</w:t>
            </w:r>
          </w:p>
        </w:tc>
        <w:tc>
          <w:tcPr>
            <w:tcW w:w="2991" w:type="dxa"/>
          </w:tcPr>
          <w:p w14:paraId="262DD292" w14:textId="35BC2E75" w:rsidR="007E4965" w:rsidRPr="00C7713E" w:rsidRDefault="006C5869" w:rsidP="00AF4347">
            <w:pPr>
              <w:rPr>
                <w:rFonts w:ascii="Times New Roman" w:hAnsi="Times New Roman" w:cs="Times New Roman"/>
                <w:sz w:val="24"/>
                <w:szCs w:val="24"/>
                <w:lang w:val="fr-FR"/>
              </w:rPr>
            </w:pPr>
            <w:r w:rsidRPr="00C7713E">
              <w:rPr>
                <w:rFonts w:ascii="Times New Roman" w:hAnsi="Times New Roman" w:cs="Times New Roman"/>
                <w:sz w:val="24"/>
                <w:szCs w:val="24"/>
                <w:lang w:val="fr-FR"/>
              </w:rPr>
              <w:t xml:space="preserve">Postuler pour le statut d’affilié </w:t>
            </w:r>
            <w:r w:rsidR="00AF4347">
              <w:rPr>
                <w:rFonts w:ascii="Times New Roman" w:hAnsi="Times New Roman" w:cs="Times New Roman"/>
                <w:sz w:val="24"/>
                <w:szCs w:val="24"/>
                <w:lang w:val="fr-FR"/>
              </w:rPr>
              <w:t>AECTA</w:t>
            </w:r>
            <w:r w:rsidRPr="00C7713E">
              <w:rPr>
                <w:rFonts w:ascii="Times New Roman" w:hAnsi="Times New Roman" w:cs="Times New Roman"/>
                <w:sz w:val="24"/>
                <w:szCs w:val="24"/>
                <w:lang w:val="fr-FR"/>
              </w:rPr>
              <w:t xml:space="preserve"> Accréditation du</w:t>
            </w:r>
            <w:r w:rsidR="00AF4347">
              <w:rPr>
                <w:rFonts w:ascii="Times New Roman" w:hAnsi="Times New Roman" w:cs="Times New Roman"/>
                <w:sz w:val="24"/>
                <w:szCs w:val="24"/>
                <w:lang w:val="fr-FR"/>
              </w:rPr>
              <w:t xml:space="preserve"> </w:t>
            </w:r>
            <w:r w:rsidRPr="00C7713E">
              <w:rPr>
                <w:rFonts w:ascii="Times New Roman" w:hAnsi="Times New Roman" w:cs="Times New Roman"/>
                <w:sz w:val="24"/>
                <w:szCs w:val="24"/>
                <w:lang w:val="fr-FR"/>
              </w:rPr>
              <w:t xml:space="preserve">(des) programme(s) </w:t>
            </w:r>
            <w:r w:rsidR="00AF4347" w:rsidRPr="00EE108E">
              <w:rPr>
                <w:rFonts w:ascii="Times New Roman" w:hAnsi="Times New Roman" w:cs="Times New Roman"/>
                <w:i/>
                <w:sz w:val="24"/>
                <w:szCs w:val="24"/>
                <w:lang w:val="fr-FR"/>
              </w:rPr>
              <w:t>POADE</w:t>
            </w:r>
          </w:p>
        </w:tc>
        <w:tc>
          <w:tcPr>
            <w:tcW w:w="3234" w:type="dxa"/>
          </w:tcPr>
          <w:p w14:paraId="46F3E868" w14:textId="5BF574F5" w:rsidR="007E4965" w:rsidRPr="00C7713E" w:rsidRDefault="00AF4347" w:rsidP="006E439F">
            <w:pPr>
              <w:rPr>
                <w:rFonts w:ascii="Times New Roman" w:hAnsi="Times New Roman" w:cs="Times New Roman"/>
                <w:sz w:val="24"/>
                <w:szCs w:val="24"/>
                <w:lang w:val="fr-FR"/>
              </w:rPr>
            </w:pPr>
            <w:r>
              <w:rPr>
                <w:rFonts w:ascii="Times New Roman" w:hAnsi="Times New Roman" w:cs="Times New Roman"/>
                <w:sz w:val="24"/>
                <w:szCs w:val="24"/>
                <w:lang w:val="fr-FR"/>
              </w:rPr>
              <w:t xml:space="preserve">Se conformer aux normes </w:t>
            </w:r>
            <w:r w:rsidR="006E439F" w:rsidRPr="00EE108E">
              <w:rPr>
                <w:rFonts w:ascii="Times New Roman" w:hAnsi="Times New Roman" w:cs="Times New Roman"/>
                <w:i/>
                <w:sz w:val="24"/>
                <w:szCs w:val="24"/>
                <w:lang w:val="fr-FR"/>
              </w:rPr>
              <w:t>POADE</w:t>
            </w:r>
            <w:r w:rsidR="006E439F" w:rsidRPr="00C7713E">
              <w:rPr>
                <w:rFonts w:ascii="Times New Roman" w:hAnsi="Times New Roman" w:cs="Times New Roman"/>
                <w:sz w:val="24"/>
                <w:szCs w:val="24"/>
                <w:lang w:val="fr-FR"/>
              </w:rPr>
              <w:t xml:space="preserve"> </w:t>
            </w:r>
            <w:r w:rsidR="006E439F">
              <w:rPr>
                <w:rFonts w:ascii="Times New Roman" w:hAnsi="Times New Roman" w:cs="Times New Roman"/>
                <w:sz w:val="24"/>
                <w:szCs w:val="24"/>
                <w:lang w:val="fr-FR"/>
              </w:rPr>
              <w:t xml:space="preserve"> de l’</w:t>
            </w:r>
            <w:r>
              <w:rPr>
                <w:rFonts w:ascii="Times New Roman" w:hAnsi="Times New Roman" w:cs="Times New Roman"/>
                <w:sz w:val="24"/>
                <w:szCs w:val="24"/>
                <w:lang w:val="fr-FR"/>
              </w:rPr>
              <w:t xml:space="preserve">AETCA </w:t>
            </w:r>
            <w:r w:rsidR="006C5869" w:rsidRPr="00C7713E">
              <w:rPr>
                <w:rFonts w:ascii="Times New Roman" w:hAnsi="Times New Roman" w:cs="Times New Roman"/>
                <w:sz w:val="24"/>
                <w:szCs w:val="24"/>
                <w:lang w:val="fr-FR"/>
              </w:rPr>
              <w:t>pour l’accréditation du statut d’affilié</w:t>
            </w:r>
          </w:p>
        </w:tc>
      </w:tr>
    </w:tbl>
    <w:p w14:paraId="17074A34" w14:textId="77777777" w:rsidR="006B2475" w:rsidRPr="00C7713E" w:rsidRDefault="006B2475">
      <w:pPr>
        <w:rPr>
          <w:rFonts w:ascii="Cambria" w:hAnsi="Cambria"/>
          <w:b/>
          <w:bCs/>
          <w:sz w:val="24"/>
          <w:szCs w:val="24"/>
          <w:lang w:val="fr-FR"/>
        </w:rPr>
      </w:pPr>
      <w:r w:rsidRPr="00C7713E">
        <w:rPr>
          <w:rFonts w:ascii="Cambria" w:hAnsi="Cambria"/>
          <w:b/>
          <w:bCs/>
          <w:sz w:val="24"/>
          <w:szCs w:val="24"/>
          <w:lang w:val="fr-FR"/>
        </w:rPr>
        <w:br w:type="page"/>
      </w:r>
    </w:p>
    <w:p w14:paraId="30E3BB7F" w14:textId="015CE869" w:rsidR="00CD698A" w:rsidRPr="00C7713E" w:rsidRDefault="006C5869" w:rsidP="008660E9">
      <w:pPr>
        <w:pStyle w:val="Heading2"/>
        <w:rPr>
          <w:b/>
          <w:bCs/>
          <w:color w:val="C45911" w:themeColor="accent2" w:themeShade="BF"/>
          <w:lang w:val="fr-FR"/>
        </w:rPr>
      </w:pPr>
      <w:bookmarkStart w:id="3" w:name="_Toc57626044"/>
      <w:r w:rsidRPr="00C7713E">
        <w:rPr>
          <w:b/>
          <w:bCs/>
          <w:color w:val="C45911" w:themeColor="accent2" w:themeShade="BF"/>
          <w:lang w:val="fr-FR"/>
        </w:rPr>
        <w:lastRenderedPageBreak/>
        <w:t xml:space="preserve">JUSTIFICATIFICATIONS DE L’APPLICATION DES NORMES </w:t>
      </w:r>
      <w:r w:rsidR="006E439F">
        <w:rPr>
          <w:b/>
          <w:bCs/>
          <w:color w:val="C45911" w:themeColor="accent2" w:themeShade="BF"/>
          <w:lang w:val="fr-FR"/>
        </w:rPr>
        <w:t>POADE</w:t>
      </w:r>
      <w:r w:rsidRPr="00C7713E">
        <w:rPr>
          <w:b/>
          <w:bCs/>
          <w:color w:val="C45911" w:themeColor="accent2" w:themeShade="BF"/>
          <w:lang w:val="fr-FR"/>
        </w:rPr>
        <w:t xml:space="preserve"> DE L’AETCA</w:t>
      </w:r>
      <w:bookmarkEnd w:id="3"/>
    </w:p>
    <w:p w14:paraId="07DC14B0" w14:textId="77777777" w:rsidR="00CD698A" w:rsidRPr="00C7713E" w:rsidRDefault="00CD698A" w:rsidP="00CD698A">
      <w:pPr>
        <w:spacing w:after="0" w:line="240" w:lineRule="auto"/>
        <w:jc w:val="center"/>
        <w:rPr>
          <w:rFonts w:ascii="Cambria" w:hAnsi="Cambria"/>
          <w:b/>
          <w:bCs/>
          <w:sz w:val="24"/>
          <w:szCs w:val="24"/>
          <w:lang w:val="fr-FR"/>
        </w:rPr>
      </w:pPr>
    </w:p>
    <w:p w14:paraId="5445F387" w14:textId="5EF192E2" w:rsidR="00CD698A" w:rsidRDefault="00C7713E" w:rsidP="00CD698A">
      <w:pPr>
        <w:pStyle w:val="m-5214816847189225371msolistparagraph"/>
        <w:numPr>
          <w:ilvl w:val="0"/>
          <w:numId w:val="9"/>
        </w:numPr>
        <w:shd w:val="clear" w:color="auto" w:fill="FFFFFF"/>
        <w:spacing w:before="0" w:beforeAutospacing="0" w:after="0" w:afterAutospacing="0"/>
        <w:jc w:val="both"/>
        <w:rPr>
          <w:rFonts w:ascii="Cambria" w:hAnsi="Cambria" w:cs="Calibri"/>
          <w:lang w:val="fr-FR"/>
        </w:rPr>
      </w:pPr>
      <w:r w:rsidRPr="006E439F">
        <w:rPr>
          <w:i/>
          <w:lang w:val="fr-FR"/>
        </w:rPr>
        <w:t xml:space="preserve">La nature du document </w:t>
      </w:r>
      <w:r w:rsidR="006E439F" w:rsidRPr="006E439F">
        <w:rPr>
          <w:i/>
          <w:lang w:val="fr-FR"/>
        </w:rPr>
        <w:t>POADE de l’AETCA</w:t>
      </w:r>
      <w:r w:rsidRPr="00C7713E">
        <w:rPr>
          <w:lang w:val="fr-FR"/>
        </w:rPr>
        <w:t xml:space="preserve">. Les normes </w:t>
      </w:r>
      <w:r w:rsidR="006E439F">
        <w:rPr>
          <w:lang w:val="fr-FR"/>
        </w:rPr>
        <w:t xml:space="preserve">du </w:t>
      </w:r>
      <w:r w:rsidR="006E439F" w:rsidRPr="00EE108E">
        <w:rPr>
          <w:i/>
          <w:lang w:val="fr-FR"/>
        </w:rPr>
        <w:t>POADE</w:t>
      </w:r>
      <w:r w:rsidR="006E439F" w:rsidRPr="00C7713E">
        <w:rPr>
          <w:lang w:val="fr-FR"/>
        </w:rPr>
        <w:t xml:space="preserve"> </w:t>
      </w:r>
      <w:r w:rsidR="006E439F">
        <w:rPr>
          <w:lang w:val="fr-FR"/>
        </w:rPr>
        <w:t>de l’AETCA</w:t>
      </w:r>
      <w:r w:rsidRPr="00C7713E">
        <w:rPr>
          <w:lang w:val="fr-FR"/>
        </w:rPr>
        <w:t xml:space="preserve"> sont un document autonome. Par conséquent, les </w:t>
      </w:r>
      <w:r w:rsidR="006E439F" w:rsidRPr="00C7713E">
        <w:rPr>
          <w:lang w:val="fr-FR"/>
        </w:rPr>
        <w:t xml:space="preserve">normes </w:t>
      </w:r>
      <w:r w:rsidR="006E439F">
        <w:rPr>
          <w:lang w:val="fr-FR"/>
        </w:rPr>
        <w:t xml:space="preserve">du </w:t>
      </w:r>
      <w:r w:rsidR="006E439F" w:rsidRPr="00EE108E">
        <w:rPr>
          <w:i/>
          <w:lang w:val="fr-FR"/>
        </w:rPr>
        <w:t>POADE</w:t>
      </w:r>
      <w:r w:rsidR="006E439F" w:rsidRPr="00C7713E">
        <w:rPr>
          <w:lang w:val="fr-FR"/>
        </w:rPr>
        <w:t xml:space="preserve"> </w:t>
      </w:r>
      <w:r w:rsidR="006E439F">
        <w:rPr>
          <w:lang w:val="fr-FR"/>
        </w:rPr>
        <w:t>de l’AETCA</w:t>
      </w:r>
      <w:r w:rsidRPr="00C7713E">
        <w:rPr>
          <w:lang w:val="fr-FR"/>
        </w:rPr>
        <w:t xml:space="preserve"> ne reproduisent pas les normes </w:t>
      </w:r>
      <w:r w:rsidR="006E439F">
        <w:rPr>
          <w:lang w:val="fr-FR"/>
        </w:rPr>
        <w:t>2011 de l’AETC</w:t>
      </w:r>
      <w:r w:rsidRPr="00C7713E">
        <w:rPr>
          <w:lang w:val="fr-FR"/>
        </w:rPr>
        <w:t xml:space="preserve">A (bien sûr, les </w:t>
      </w:r>
      <w:r w:rsidR="006E439F" w:rsidRPr="00C7713E">
        <w:rPr>
          <w:lang w:val="fr-FR"/>
        </w:rPr>
        <w:t xml:space="preserve">normes </w:t>
      </w:r>
      <w:r w:rsidR="006E439F">
        <w:rPr>
          <w:lang w:val="fr-FR"/>
        </w:rPr>
        <w:t xml:space="preserve">du </w:t>
      </w:r>
      <w:r w:rsidR="006E439F" w:rsidRPr="00EE108E">
        <w:rPr>
          <w:i/>
          <w:lang w:val="fr-FR"/>
        </w:rPr>
        <w:t>POADE</w:t>
      </w:r>
      <w:r w:rsidR="006E439F" w:rsidRPr="00C7713E">
        <w:rPr>
          <w:lang w:val="fr-FR"/>
        </w:rPr>
        <w:t xml:space="preserve"> </w:t>
      </w:r>
      <w:r w:rsidRPr="00C7713E">
        <w:rPr>
          <w:lang w:val="fr-FR"/>
        </w:rPr>
        <w:t xml:space="preserve">ne contredisent pas les normes </w:t>
      </w:r>
      <w:r w:rsidR="006E439F">
        <w:rPr>
          <w:lang w:val="fr-FR"/>
        </w:rPr>
        <w:t>2011 de l’AETCA</w:t>
      </w:r>
      <w:r w:rsidRPr="00C7713E">
        <w:rPr>
          <w:lang w:val="fr-FR"/>
        </w:rPr>
        <w:t xml:space="preserve">). Par conséquent, chaque paragraphe des </w:t>
      </w:r>
      <w:r w:rsidR="006E439F" w:rsidRPr="00C7713E">
        <w:rPr>
          <w:lang w:val="fr-FR"/>
        </w:rPr>
        <w:t xml:space="preserve">normes </w:t>
      </w:r>
      <w:r w:rsidR="006E439F">
        <w:rPr>
          <w:lang w:val="fr-FR"/>
        </w:rPr>
        <w:t xml:space="preserve">du </w:t>
      </w:r>
      <w:r w:rsidR="006E439F" w:rsidRPr="00EE108E">
        <w:rPr>
          <w:i/>
          <w:lang w:val="fr-FR"/>
        </w:rPr>
        <w:t>POADE</w:t>
      </w:r>
      <w:r w:rsidR="006E439F" w:rsidRPr="00C7713E">
        <w:rPr>
          <w:lang w:val="fr-FR"/>
        </w:rPr>
        <w:t xml:space="preserve"> </w:t>
      </w:r>
      <w:r w:rsidR="006E439F">
        <w:rPr>
          <w:lang w:val="fr-FR"/>
        </w:rPr>
        <w:t xml:space="preserve"> </w:t>
      </w:r>
      <w:r w:rsidRPr="00C7713E">
        <w:rPr>
          <w:lang w:val="fr-FR"/>
        </w:rPr>
        <w:t xml:space="preserve">évalue uniquement les programmes </w:t>
      </w:r>
      <w:r w:rsidR="006E439F" w:rsidRPr="006E439F">
        <w:rPr>
          <w:i/>
          <w:lang w:val="fr-FR"/>
        </w:rPr>
        <w:t>POADE</w:t>
      </w:r>
      <w:r w:rsidRPr="00C7713E">
        <w:rPr>
          <w:lang w:val="fr-FR"/>
        </w:rPr>
        <w:t>, et chaque paragraphe exige une auto-évaluation par l’institution et une évaluation par l’A</w:t>
      </w:r>
      <w:r w:rsidR="006E439F">
        <w:rPr>
          <w:lang w:val="fr-FR"/>
        </w:rPr>
        <w:t>ETCA</w:t>
      </w:r>
      <w:r w:rsidRPr="00C7713E">
        <w:rPr>
          <w:lang w:val="fr-FR"/>
        </w:rPr>
        <w:t xml:space="preserve">. Aucun paragraphe ne peut être légitimement contourné en considération de l’accréditation </w:t>
      </w:r>
      <w:r w:rsidR="006E439F">
        <w:rPr>
          <w:lang w:val="fr-FR"/>
        </w:rPr>
        <w:t xml:space="preserve">du </w:t>
      </w:r>
      <w:r w:rsidR="006E439F" w:rsidRPr="006E439F">
        <w:rPr>
          <w:i/>
          <w:lang w:val="fr-FR"/>
        </w:rPr>
        <w:t>POADE</w:t>
      </w:r>
      <w:r w:rsidRPr="00C7713E">
        <w:rPr>
          <w:lang w:val="fr-FR"/>
        </w:rPr>
        <w:t>, même si le ou les programmes en format résident</w:t>
      </w:r>
      <w:r w:rsidR="006E439F">
        <w:rPr>
          <w:lang w:val="fr-FR"/>
        </w:rPr>
        <w:t>iel</w:t>
      </w:r>
      <w:r w:rsidRPr="00C7713E">
        <w:rPr>
          <w:lang w:val="fr-FR"/>
        </w:rPr>
        <w:t xml:space="preserve"> possèdent déjà l’accréditation </w:t>
      </w:r>
      <w:r w:rsidR="006E439F">
        <w:rPr>
          <w:lang w:val="fr-FR"/>
        </w:rPr>
        <w:t>de l’AETC</w:t>
      </w:r>
      <w:r w:rsidRPr="00C7713E">
        <w:rPr>
          <w:lang w:val="fr-FR"/>
        </w:rPr>
        <w:t>A</w:t>
      </w:r>
      <w:r w:rsidR="00CD698A" w:rsidRPr="00C7713E">
        <w:rPr>
          <w:lang w:val="fr-FR"/>
        </w:rPr>
        <w:t xml:space="preserve">. </w:t>
      </w:r>
      <w:r w:rsidRPr="00C7713E">
        <w:rPr>
          <w:lang w:val="fr-FR"/>
        </w:rPr>
        <w:t>L’A</w:t>
      </w:r>
      <w:r w:rsidR="006E439F">
        <w:rPr>
          <w:lang w:val="fr-FR"/>
        </w:rPr>
        <w:t>ETCA</w:t>
      </w:r>
      <w:r w:rsidRPr="00C7713E">
        <w:rPr>
          <w:lang w:val="fr-FR"/>
        </w:rPr>
        <w:t xml:space="preserve"> soutient qu’un programme </w:t>
      </w:r>
      <w:r w:rsidR="006E439F" w:rsidRPr="00EE108E">
        <w:rPr>
          <w:i/>
          <w:lang w:val="fr-FR"/>
        </w:rPr>
        <w:t>POADE</w:t>
      </w:r>
      <w:r w:rsidR="006E439F" w:rsidRPr="00C7713E">
        <w:rPr>
          <w:lang w:val="fr-FR"/>
        </w:rPr>
        <w:t xml:space="preserve"> </w:t>
      </w:r>
      <w:r w:rsidR="006E439F">
        <w:rPr>
          <w:lang w:val="fr-FR"/>
        </w:rPr>
        <w:t>de l’AETCA</w:t>
      </w:r>
      <w:r w:rsidRPr="00C7713E">
        <w:rPr>
          <w:lang w:val="fr-FR"/>
        </w:rPr>
        <w:t xml:space="preserve"> est substantiellement distinct d’un programme </w:t>
      </w:r>
      <w:r w:rsidR="006E439F">
        <w:rPr>
          <w:lang w:val="fr-FR"/>
        </w:rPr>
        <w:t xml:space="preserve">en </w:t>
      </w:r>
      <w:r w:rsidR="006E439F" w:rsidRPr="00C7713E">
        <w:rPr>
          <w:lang w:val="fr-FR"/>
        </w:rPr>
        <w:t>résident</w:t>
      </w:r>
      <w:r w:rsidR="006E439F">
        <w:rPr>
          <w:lang w:val="fr-FR"/>
        </w:rPr>
        <w:t>iel,</w:t>
      </w:r>
      <w:r w:rsidRPr="00C7713E">
        <w:rPr>
          <w:lang w:val="fr-FR"/>
        </w:rPr>
        <w:t xml:space="preserve"> même lorsque ces programmes respectifs partagent la même nomenclature. Ainsi, les ét</w:t>
      </w:r>
      <w:r w:rsidR="00E909EC">
        <w:rPr>
          <w:lang w:val="fr-FR"/>
        </w:rPr>
        <w:t>ablissements accrédités par l’AETCA</w:t>
      </w:r>
      <w:r w:rsidRPr="00C7713E">
        <w:rPr>
          <w:lang w:val="fr-FR"/>
        </w:rPr>
        <w:t xml:space="preserve"> devraient se conformer en</w:t>
      </w:r>
      <w:r w:rsidR="00E909EC">
        <w:rPr>
          <w:lang w:val="fr-FR"/>
        </w:rPr>
        <w:t xml:space="preserve">tièrement aux normes du </w:t>
      </w:r>
      <w:r w:rsidR="00E909EC" w:rsidRPr="00EE108E">
        <w:rPr>
          <w:i/>
          <w:lang w:val="fr-FR"/>
        </w:rPr>
        <w:t>POADE</w:t>
      </w:r>
      <w:r w:rsidR="00E909EC" w:rsidRPr="00C7713E">
        <w:rPr>
          <w:lang w:val="fr-FR"/>
        </w:rPr>
        <w:t xml:space="preserve"> </w:t>
      </w:r>
      <w:r w:rsidR="00E909EC">
        <w:rPr>
          <w:lang w:val="fr-FR"/>
        </w:rPr>
        <w:t>de l’AETCA</w:t>
      </w:r>
      <w:r w:rsidRPr="00C7713E">
        <w:rPr>
          <w:lang w:val="fr-FR"/>
        </w:rPr>
        <w:t xml:space="preserve"> afin d</w:t>
      </w:r>
      <w:r w:rsidR="00E909EC">
        <w:rPr>
          <w:lang w:val="fr-FR"/>
        </w:rPr>
        <w:t xml:space="preserve">’obtenir l’accréditation de l’AETCA pour les programmes du </w:t>
      </w:r>
      <w:r w:rsidR="00E909EC" w:rsidRPr="00E909EC">
        <w:rPr>
          <w:i/>
          <w:lang w:val="fr-FR"/>
        </w:rPr>
        <w:t>POADE</w:t>
      </w:r>
      <w:r w:rsidR="00CD698A" w:rsidRPr="00C7713E">
        <w:rPr>
          <w:rFonts w:ascii="Cambria" w:hAnsi="Cambria" w:cs="Calibri"/>
          <w:lang w:val="fr-FR"/>
        </w:rPr>
        <w:t xml:space="preserve">. </w:t>
      </w:r>
    </w:p>
    <w:p w14:paraId="0187894B" w14:textId="77777777" w:rsidR="00E909EC" w:rsidRPr="00C7713E" w:rsidRDefault="00E909EC" w:rsidP="00E909EC">
      <w:pPr>
        <w:pStyle w:val="m-5214816847189225371msolistparagraph"/>
        <w:shd w:val="clear" w:color="auto" w:fill="FFFFFF"/>
        <w:spacing w:before="0" w:beforeAutospacing="0" w:after="0" w:afterAutospacing="0"/>
        <w:ind w:left="450"/>
        <w:jc w:val="both"/>
        <w:rPr>
          <w:rFonts w:ascii="Cambria" w:hAnsi="Cambria" w:cs="Calibri"/>
          <w:lang w:val="fr-FR"/>
        </w:rPr>
      </w:pPr>
    </w:p>
    <w:p w14:paraId="1A9C53A4" w14:textId="1FE1B803" w:rsidR="00CD698A" w:rsidRDefault="00C7713E" w:rsidP="00CD698A">
      <w:pPr>
        <w:pStyle w:val="m-5214816847189225371msolistparagraph"/>
        <w:numPr>
          <w:ilvl w:val="0"/>
          <w:numId w:val="9"/>
        </w:numPr>
        <w:shd w:val="clear" w:color="auto" w:fill="FFFFFF"/>
        <w:spacing w:before="0" w:beforeAutospacing="0" w:after="0" w:afterAutospacing="0"/>
        <w:jc w:val="both"/>
        <w:rPr>
          <w:rFonts w:ascii="Cambria" w:hAnsi="Cambria" w:cs="Calibri"/>
          <w:lang w:val="fr-FR"/>
        </w:rPr>
      </w:pPr>
      <w:r w:rsidRPr="00E909EC">
        <w:rPr>
          <w:i/>
          <w:lang w:val="fr-FR"/>
        </w:rPr>
        <w:t xml:space="preserve">Ajustement de l’application </w:t>
      </w:r>
      <w:r w:rsidR="00E909EC">
        <w:rPr>
          <w:i/>
          <w:lang w:val="fr-FR"/>
        </w:rPr>
        <w:t>du POADE</w:t>
      </w:r>
      <w:r w:rsidRPr="00E909EC">
        <w:rPr>
          <w:i/>
          <w:lang w:val="fr-FR"/>
        </w:rPr>
        <w:t xml:space="preserve"> pour les membres associés</w:t>
      </w:r>
      <w:r w:rsidRPr="00C7713E">
        <w:rPr>
          <w:lang w:val="fr-FR"/>
        </w:rPr>
        <w:t xml:space="preserve">. Les </w:t>
      </w:r>
      <w:r w:rsidR="00E909EC" w:rsidRPr="00C7713E">
        <w:rPr>
          <w:lang w:val="fr-FR"/>
        </w:rPr>
        <w:t xml:space="preserve">normes </w:t>
      </w:r>
      <w:r w:rsidR="00E909EC">
        <w:rPr>
          <w:lang w:val="fr-FR"/>
        </w:rPr>
        <w:t xml:space="preserve">du </w:t>
      </w:r>
      <w:r w:rsidR="00E909EC" w:rsidRPr="00EE108E">
        <w:rPr>
          <w:i/>
          <w:lang w:val="fr-FR"/>
        </w:rPr>
        <w:t>POADE</w:t>
      </w:r>
      <w:r w:rsidR="00E909EC" w:rsidRPr="00C7713E">
        <w:rPr>
          <w:lang w:val="fr-FR"/>
        </w:rPr>
        <w:t xml:space="preserve"> </w:t>
      </w:r>
      <w:r w:rsidR="00E909EC">
        <w:rPr>
          <w:lang w:val="fr-FR"/>
        </w:rPr>
        <w:t>de l’AETCA</w:t>
      </w:r>
      <w:r w:rsidR="00E909EC" w:rsidRPr="00C7713E">
        <w:rPr>
          <w:lang w:val="fr-FR"/>
        </w:rPr>
        <w:t xml:space="preserve"> </w:t>
      </w:r>
      <w:r w:rsidRPr="00C7713E">
        <w:rPr>
          <w:lang w:val="fr-FR"/>
        </w:rPr>
        <w:t xml:space="preserve">devraient être considérées pour les </w:t>
      </w:r>
      <w:r w:rsidR="00E909EC">
        <w:rPr>
          <w:lang w:val="fr-FR"/>
        </w:rPr>
        <w:t>institutions</w:t>
      </w:r>
      <w:r w:rsidRPr="00C7713E">
        <w:rPr>
          <w:lang w:val="fr-FR"/>
        </w:rPr>
        <w:t xml:space="preserve"> qui peuvent déjà posséder une reconnaissance, c.-à-d. l’accréditation gouvernementale par les commissions de l’enseignement supérieur pour les programmes </w:t>
      </w:r>
      <w:r w:rsidR="00E909EC" w:rsidRPr="00E909EC">
        <w:rPr>
          <w:i/>
          <w:lang w:val="fr-FR"/>
        </w:rPr>
        <w:t>POADE</w:t>
      </w:r>
      <w:r w:rsidRPr="00C7713E">
        <w:rPr>
          <w:lang w:val="fr-FR"/>
        </w:rPr>
        <w:t>. Cette catégori</w:t>
      </w:r>
      <w:r w:rsidR="00E909EC">
        <w:rPr>
          <w:lang w:val="fr-FR"/>
        </w:rPr>
        <w:t>e est semblable à celle d’Accréditation du Statut d’Associé où l’A</w:t>
      </w:r>
      <w:r w:rsidRPr="00C7713E">
        <w:rPr>
          <w:lang w:val="fr-FR"/>
        </w:rPr>
        <w:t>E</w:t>
      </w:r>
      <w:r w:rsidR="00E909EC">
        <w:rPr>
          <w:lang w:val="fr-FR"/>
        </w:rPr>
        <w:t>TC</w:t>
      </w:r>
      <w:r w:rsidRPr="00C7713E">
        <w:rPr>
          <w:lang w:val="fr-FR"/>
        </w:rPr>
        <w:t xml:space="preserve">A a simplifié le processus d’accréditation des </w:t>
      </w:r>
      <w:r w:rsidR="00E909EC">
        <w:rPr>
          <w:lang w:val="fr-FR"/>
        </w:rPr>
        <w:t>institutions membres de l’A</w:t>
      </w:r>
      <w:r w:rsidRPr="00C7713E">
        <w:rPr>
          <w:lang w:val="fr-FR"/>
        </w:rPr>
        <w:t>E</w:t>
      </w:r>
      <w:r w:rsidR="00E909EC">
        <w:rPr>
          <w:lang w:val="fr-FR"/>
        </w:rPr>
        <w:t>TC</w:t>
      </w:r>
      <w:r w:rsidRPr="00C7713E">
        <w:rPr>
          <w:lang w:val="fr-FR"/>
        </w:rPr>
        <w:t>A af</w:t>
      </w:r>
      <w:r w:rsidR="00E909EC">
        <w:rPr>
          <w:lang w:val="fr-FR"/>
        </w:rPr>
        <w:t>in que l’accréditation par l’AETCA</w:t>
      </w:r>
      <w:r w:rsidRPr="00C7713E">
        <w:rPr>
          <w:lang w:val="fr-FR"/>
        </w:rPr>
        <w:t xml:space="preserve"> ne fasse pas doubl</w:t>
      </w:r>
      <w:r w:rsidR="00E909EC">
        <w:rPr>
          <w:lang w:val="fr-FR"/>
        </w:rPr>
        <w:t xml:space="preserve">e emploi avec les efforts de l’institution </w:t>
      </w:r>
      <w:r w:rsidRPr="00C7713E">
        <w:rPr>
          <w:lang w:val="fr-FR"/>
        </w:rPr>
        <w:t xml:space="preserve">(c.-à-d. le dédoublement de l’autoévaluation et de la déclaration déjà exigées dans la bourse d’agrément de l’enseignement supérieur du gouvernement). Ainsi, le processus d’accréditation des programmes </w:t>
      </w:r>
      <w:r w:rsidR="00A85028" w:rsidRPr="00A85028">
        <w:rPr>
          <w:i/>
          <w:lang w:val="fr-FR"/>
        </w:rPr>
        <w:t>POADE</w:t>
      </w:r>
      <w:r w:rsidRPr="00C7713E">
        <w:rPr>
          <w:lang w:val="fr-FR"/>
        </w:rPr>
        <w:t>, reconnu par les commissions de l’enseignement supérieur du pays hôte, pourrait être sim</w:t>
      </w:r>
      <w:r w:rsidR="00A85028">
        <w:rPr>
          <w:lang w:val="fr-FR"/>
        </w:rPr>
        <w:t>plifié lors de l’examen par l’AETCA</w:t>
      </w:r>
      <w:r w:rsidRPr="00C7713E">
        <w:rPr>
          <w:lang w:val="fr-FR"/>
        </w:rPr>
        <w:t xml:space="preserve"> de ce processus d’accréditation respectif des commissions de l’enseignement supérieur</w:t>
      </w:r>
      <w:r w:rsidR="00E04A67" w:rsidRPr="00C7713E">
        <w:rPr>
          <w:rFonts w:ascii="Cambria" w:hAnsi="Cambria" w:cs="Calibri"/>
          <w:lang w:val="fr-FR"/>
        </w:rPr>
        <w:t xml:space="preserve">. </w:t>
      </w:r>
    </w:p>
    <w:p w14:paraId="47AAB486" w14:textId="77777777" w:rsidR="00E909EC" w:rsidRPr="00C7713E" w:rsidRDefault="00E909EC" w:rsidP="00E909EC">
      <w:pPr>
        <w:pStyle w:val="m-5214816847189225371msolistparagraph"/>
        <w:shd w:val="clear" w:color="auto" w:fill="FFFFFF"/>
        <w:spacing w:before="0" w:beforeAutospacing="0" w:after="0" w:afterAutospacing="0"/>
        <w:jc w:val="both"/>
        <w:rPr>
          <w:rFonts w:ascii="Cambria" w:hAnsi="Cambria" w:cs="Calibri"/>
          <w:lang w:val="fr-FR"/>
        </w:rPr>
      </w:pPr>
    </w:p>
    <w:p w14:paraId="7A418CFF" w14:textId="42F10865" w:rsidR="00CD698A" w:rsidRDefault="00C7713E" w:rsidP="00CD698A">
      <w:pPr>
        <w:pStyle w:val="m-5214816847189225371msolistparagraph"/>
        <w:numPr>
          <w:ilvl w:val="0"/>
          <w:numId w:val="9"/>
        </w:numPr>
        <w:shd w:val="clear" w:color="auto" w:fill="FFFFFF"/>
        <w:spacing w:before="0" w:beforeAutospacing="0" w:after="0" w:afterAutospacing="0"/>
        <w:jc w:val="both"/>
        <w:rPr>
          <w:rFonts w:ascii="Cambria" w:hAnsi="Cambria" w:cs="Calibri"/>
          <w:lang w:val="fr-FR"/>
        </w:rPr>
      </w:pPr>
      <w:r w:rsidRPr="00E909EC">
        <w:rPr>
          <w:i/>
          <w:lang w:val="fr-FR"/>
        </w:rPr>
        <w:t>Demande des membres affiliés</w:t>
      </w:r>
      <w:r w:rsidRPr="00C7713E">
        <w:rPr>
          <w:lang w:val="fr-FR"/>
        </w:rPr>
        <w:t>. Les établissements qui relèvent actuellement du statut d’affilié de l’A</w:t>
      </w:r>
      <w:r w:rsidR="00A85028">
        <w:rPr>
          <w:lang w:val="fr-FR"/>
        </w:rPr>
        <w:t>ETCA</w:t>
      </w:r>
      <w:r w:rsidRPr="00C7713E">
        <w:rPr>
          <w:lang w:val="fr-FR"/>
        </w:rPr>
        <w:t xml:space="preserve"> doivent commencer leur demande d’accréditation du ou des programmes </w:t>
      </w:r>
      <w:r w:rsidR="00A85028" w:rsidRPr="00A85028">
        <w:rPr>
          <w:i/>
          <w:lang w:val="fr-FR"/>
        </w:rPr>
        <w:t>POADE</w:t>
      </w:r>
      <w:r w:rsidRPr="00C7713E">
        <w:rPr>
          <w:lang w:val="fr-FR"/>
        </w:rPr>
        <w:t xml:space="preserve"> par le processus d’accréditation du ou des programmes </w:t>
      </w:r>
      <w:r w:rsidR="00A85028" w:rsidRPr="00A85028">
        <w:rPr>
          <w:i/>
          <w:lang w:val="fr-FR"/>
        </w:rPr>
        <w:t>POADE</w:t>
      </w:r>
      <w:r w:rsidRPr="00C7713E">
        <w:rPr>
          <w:lang w:val="fr-FR"/>
        </w:rPr>
        <w:t xml:space="preserve">, qui est semblable à ce processus pour les programmes </w:t>
      </w:r>
      <w:r w:rsidR="00A85028">
        <w:rPr>
          <w:lang w:val="fr-FR"/>
        </w:rPr>
        <w:t xml:space="preserve">en </w:t>
      </w:r>
      <w:r w:rsidRPr="00C7713E">
        <w:rPr>
          <w:lang w:val="fr-FR"/>
        </w:rPr>
        <w:t>résident</w:t>
      </w:r>
      <w:r w:rsidR="00A85028">
        <w:rPr>
          <w:lang w:val="fr-FR"/>
        </w:rPr>
        <w:t>iel</w:t>
      </w:r>
      <w:r w:rsidRPr="00C7713E">
        <w:rPr>
          <w:lang w:val="fr-FR"/>
        </w:rPr>
        <w:t>. L’</w:t>
      </w:r>
      <w:r w:rsidR="00A85028">
        <w:rPr>
          <w:lang w:val="fr-FR"/>
        </w:rPr>
        <w:t>institution</w:t>
      </w:r>
      <w:r w:rsidRPr="00C7713E">
        <w:rPr>
          <w:lang w:val="fr-FR"/>
        </w:rPr>
        <w:t xml:space="preserve"> doit se conformer aux paragraphes pertinents des Normes </w:t>
      </w:r>
      <w:r w:rsidR="00A85028" w:rsidRPr="00A85028">
        <w:rPr>
          <w:i/>
          <w:lang w:val="fr-FR"/>
        </w:rPr>
        <w:t>POADE</w:t>
      </w:r>
      <w:r w:rsidR="00A85028">
        <w:rPr>
          <w:lang w:val="fr-FR"/>
        </w:rPr>
        <w:t xml:space="preserve"> de l’AETC</w:t>
      </w:r>
      <w:r w:rsidRPr="00C7713E">
        <w:rPr>
          <w:lang w:val="fr-FR"/>
        </w:rPr>
        <w:t>A, qui sont essentiellement conformes à la pratique actuelle de l’A</w:t>
      </w:r>
      <w:r w:rsidR="00A85028">
        <w:rPr>
          <w:lang w:val="fr-FR"/>
        </w:rPr>
        <w:t>ETCA</w:t>
      </w:r>
      <w:r w:rsidRPr="00C7713E">
        <w:rPr>
          <w:lang w:val="fr-FR"/>
        </w:rPr>
        <w:t xml:space="preserve"> pour l’évaluation de l’accréditation du statut d’affilié</w:t>
      </w:r>
      <w:r w:rsidR="00CD698A" w:rsidRPr="00C7713E">
        <w:rPr>
          <w:rFonts w:ascii="Cambria" w:hAnsi="Cambria" w:cs="Calibri"/>
          <w:lang w:val="fr-FR"/>
        </w:rPr>
        <w:t>.</w:t>
      </w:r>
    </w:p>
    <w:p w14:paraId="70A73D57" w14:textId="77777777" w:rsidR="00E909EC" w:rsidRPr="00C7713E" w:rsidRDefault="00E909EC" w:rsidP="00E909EC">
      <w:pPr>
        <w:pStyle w:val="m-5214816847189225371msolistparagraph"/>
        <w:shd w:val="clear" w:color="auto" w:fill="FFFFFF"/>
        <w:spacing w:before="0" w:beforeAutospacing="0" w:after="0" w:afterAutospacing="0"/>
        <w:jc w:val="both"/>
        <w:rPr>
          <w:rFonts w:ascii="Cambria" w:hAnsi="Cambria" w:cs="Calibri"/>
          <w:lang w:val="fr-FR"/>
        </w:rPr>
      </w:pPr>
    </w:p>
    <w:p w14:paraId="75DB3E22" w14:textId="323EC27D" w:rsidR="00843636" w:rsidRPr="00C7713E" w:rsidRDefault="00A85028" w:rsidP="00CD698A">
      <w:pPr>
        <w:pStyle w:val="m-5214816847189225371msolistparagraph"/>
        <w:numPr>
          <w:ilvl w:val="0"/>
          <w:numId w:val="9"/>
        </w:numPr>
        <w:shd w:val="clear" w:color="auto" w:fill="FFFFFF"/>
        <w:spacing w:before="0" w:beforeAutospacing="0" w:after="0" w:afterAutospacing="0"/>
        <w:jc w:val="both"/>
        <w:rPr>
          <w:rFonts w:ascii="Cambria" w:hAnsi="Cambria" w:cs="Calibri"/>
          <w:lang w:val="fr-FR"/>
        </w:rPr>
      </w:pPr>
      <w:r w:rsidRPr="00A85028">
        <w:rPr>
          <w:lang w:val="fr-FR"/>
        </w:rPr>
        <w:t xml:space="preserve"> Accréditation d’autres programmes </w:t>
      </w:r>
      <w:r w:rsidR="003C7673" w:rsidRPr="00A85028">
        <w:rPr>
          <w:i/>
          <w:lang w:val="fr-FR"/>
        </w:rPr>
        <w:t>POADE</w:t>
      </w:r>
      <w:r w:rsidRPr="00A85028">
        <w:rPr>
          <w:lang w:val="fr-FR"/>
        </w:rPr>
        <w:t xml:space="preserve"> des </w:t>
      </w:r>
      <w:r w:rsidR="003C7673">
        <w:rPr>
          <w:lang w:val="fr-FR"/>
        </w:rPr>
        <w:t xml:space="preserve">institutions </w:t>
      </w:r>
      <w:r w:rsidRPr="00A85028">
        <w:rPr>
          <w:lang w:val="fr-FR"/>
        </w:rPr>
        <w:t>de l’</w:t>
      </w:r>
      <w:r w:rsidR="003C7673">
        <w:rPr>
          <w:lang w:val="fr-FR"/>
        </w:rPr>
        <w:t>EATCA</w:t>
      </w:r>
      <w:r w:rsidRPr="00A85028">
        <w:rPr>
          <w:lang w:val="fr-FR"/>
        </w:rPr>
        <w:t xml:space="preserve"> avec des programmes </w:t>
      </w:r>
      <w:r w:rsidR="003C7673" w:rsidRPr="00A85028">
        <w:rPr>
          <w:i/>
          <w:lang w:val="fr-FR"/>
        </w:rPr>
        <w:t>POADE</w:t>
      </w:r>
      <w:r w:rsidRPr="00A85028">
        <w:rPr>
          <w:lang w:val="fr-FR"/>
        </w:rPr>
        <w:t xml:space="preserve"> accrédités. À la fin de l’édition 2020 des normes </w:t>
      </w:r>
      <w:r w:rsidR="003C7673" w:rsidRPr="00A85028">
        <w:rPr>
          <w:i/>
          <w:lang w:val="fr-FR"/>
        </w:rPr>
        <w:t>POADE</w:t>
      </w:r>
      <w:r w:rsidR="003C7673">
        <w:rPr>
          <w:i/>
          <w:lang w:val="fr-FR"/>
        </w:rPr>
        <w:t xml:space="preserve"> de l’AETCA</w:t>
      </w:r>
      <w:r w:rsidRPr="00A85028">
        <w:rPr>
          <w:lang w:val="fr-FR"/>
        </w:rPr>
        <w:t xml:space="preserve">, cette catégorie d’institutions </w:t>
      </w:r>
      <w:r w:rsidR="003C7673">
        <w:rPr>
          <w:lang w:val="fr-FR"/>
        </w:rPr>
        <w:t>de l’AETCA</w:t>
      </w:r>
      <w:r w:rsidRPr="00A85028">
        <w:rPr>
          <w:lang w:val="fr-FR"/>
        </w:rPr>
        <w:t xml:space="preserve"> n’est pas pertinente pour les procédures. Néanmoins, l’A</w:t>
      </w:r>
      <w:r w:rsidR="003C7673">
        <w:rPr>
          <w:lang w:val="fr-FR"/>
        </w:rPr>
        <w:t xml:space="preserve">ETCA </w:t>
      </w:r>
      <w:r w:rsidRPr="00A85028">
        <w:rPr>
          <w:lang w:val="fr-FR"/>
        </w:rPr>
        <w:t>élaborera des normes simplifiées pour cette</w:t>
      </w:r>
      <w:r>
        <w:rPr>
          <w:lang w:val="fr-FR"/>
        </w:rPr>
        <w:t xml:space="preserve"> catégorie de pertinence prévue.</w:t>
      </w:r>
    </w:p>
    <w:p w14:paraId="3FCB0B59" w14:textId="77777777" w:rsidR="00CD698A" w:rsidRPr="00C7713E" w:rsidRDefault="00CD698A" w:rsidP="00CD698A">
      <w:pPr>
        <w:jc w:val="both"/>
        <w:rPr>
          <w:rFonts w:ascii="Cambria" w:hAnsi="Cambria"/>
          <w:sz w:val="24"/>
          <w:szCs w:val="24"/>
          <w:lang w:val="fr-FR"/>
        </w:rPr>
      </w:pPr>
    </w:p>
    <w:p w14:paraId="43E15336" w14:textId="77777777" w:rsidR="001566F0" w:rsidRPr="00C7713E" w:rsidRDefault="001566F0">
      <w:pPr>
        <w:rPr>
          <w:rFonts w:ascii="Cambria" w:eastAsia="Times New Roman" w:hAnsi="Cambria" w:cs="Times New Roman"/>
          <w:b/>
          <w:bCs/>
          <w:sz w:val="36"/>
          <w:szCs w:val="36"/>
          <w:u w:val="single"/>
          <w:lang w:val="fr-FR"/>
        </w:rPr>
      </w:pPr>
      <w:r w:rsidRPr="00C7713E">
        <w:rPr>
          <w:rFonts w:ascii="Cambria" w:hAnsi="Cambria" w:cs="Times New Roman"/>
          <w:b/>
          <w:bCs/>
          <w:sz w:val="36"/>
          <w:szCs w:val="36"/>
          <w:u w:val="single"/>
          <w:lang w:val="fr-FR"/>
        </w:rPr>
        <w:br w:type="page"/>
      </w:r>
    </w:p>
    <w:p w14:paraId="0A27883F" w14:textId="3D97C2C2" w:rsidR="00E60347" w:rsidRPr="00C7713E" w:rsidRDefault="008660E9" w:rsidP="008660E9">
      <w:pPr>
        <w:pStyle w:val="Heading1"/>
        <w:jc w:val="center"/>
        <w:rPr>
          <w:b/>
          <w:bCs/>
          <w:color w:val="C45911" w:themeColor="accent2" w:themeShade="BF"/>
          <w:sz w:val="56"/>
          <w:szCs w:val="56"/>
          <w:lang w:val="fr-FR"/>
        </w:rPr>
      </w:pPr>
      <w:bookmarkStart w:id="4" w:name="_Toc57626045"/>
      <w:r w:rsidRPr="00C7713E">
        <w:rPr>
          <w:b/>
          <w:bCs/>
          <w:color w:val="C45911" w:themeColor="accent2" w:themeShade="BF"/>
          <w:sz w:val="56"/>
          <w:szCs w:val="56"/>
          <w:lang w:val="fr-FR"/>
        </w:rPr>
        <w:lastRenderedPageBreak/>
        <w:t>PART</w:t>
      </w:r>
      <w:r w:rsidR="00C250E5" w:rsidRPr="00C7713E">
        <w:rPr>
          <w:b/>
          <w:bCs/>
          <w:color w:val="C45911" w:themeColor="accent2" w:themeShade="BF"/>
          <w:sz w:val="56"/>
          <w:szCs w:val="56"/>
          <w:lang w:val="fr-FR"/>
        </w:rPr>
        <w:t>IE</w:t>
      </w:r>
      <w:r w:rsidR="00E808C5">
        <w:rPr>
          <w:b/>
          <w:bCs/>
          <w:color w:val="C45911" w:themeColor="accent2" w:themeShade="BF"/>
          <w:sz w:val="56"/>
          <w:szCs w:val="56"/>
          <w:lang w:val="fr-FR"/>
        </w:rPr>
        <w:t>. III</w:t>
      </w:r>
      <w:r w:rsidR="00C250E5" w:rsidRPr="00C7713E">
        <w:rPr>
          <w:b/>
          <w:bCs/>
          <w:color w:val="C45911" w:themeColor="accent2" w:themeShade="BF"/>
          <w:sz w:val="56"/>
          <w:szCs w:val="56"/>
          <w:lang w:val="fr-FR"/>
        </w:rPr>
        <w:t>: LES</w:t>
      </w:r>
      <w:r w:rsidRPr="00C7713E">
        <w:rPr>
          <w:b/>
          <w:bCs/>
          <w:color w:val="C45911" w:themeColor="accent2" w:themeShade="BF"/>
          <w:sz w:val="56"/>
          <w:szCs w:val="56"/>
          <w:lang w:val="fr-FR"/>
        </w:rPr>
        <w:t xml:space="preserve"> </w:t>
      </w:r>
      <w:bookmarkEnd w:id="4"/>
      <w:r w:rsidR="004D1F7F">
        <w:rPr>
          <w:b/>
          <w:bCs/>
          <w:color w:val="C45911" w:themeColor="accent2" w:themeShade="BF"/>
          <w:sz w:val="56"/>
          <w:szCs w:val="56"/>
          <w:lang w:val="fr-FR"/>
        </w:rPr>
        <w:t>NORMES</w:t>
      </w:r>
    </w:p>
    <w:p w14:paraId="04A54509" w14:textId="4FB14666" w:rsidR="007E4965" w:rsidRPr="00C7713E" w:rsidRDefault="007E4965">
      <w:pPr>
        <w:rPr>
          <w:rFonts w:ascii="Cambria" w:eastAsia="Times New Roman" w:hAnsi="Cambria" w:cs="Times New Roman"/>
          <w:sz w:val="24"/>
          <w:szCs w:val="24"/>
          <w:lang w:val="fr-FR"/>
        </w:rPr>
      </w:pPr>
    </w:p>
    <w:p w14:paraId="359BCBB1" w14:textId="77777777" w:rsidR="00BE4C30" w:rsidRPr="00C7713E" w:rsidRDefault="005F7650" w:rsidP="008660E9">
      <w:pPr>
        <w:pStyle w:val="Heading2"/>
        <w:rPr>
          <w:b/>
          <w:bCs/>
          <w:color w:val="C45911" w:themeColor="accent2" w:themeShade="BF"/>
          <w:lang w:val="fr-FR"/>
        </w:rPr>
      </w:pPr>
      <w:bookmarkStart w:id="5" w:name="_Toc57626046"/>
      <w:r w:rsidRPr="00C7713E">
        <w:rPr>
          <w:b/>
          <w:bCs/>
          <w:color w:val="C45911" w:themeColor="accent2" w:themeShade="BF"/>
          <w:lang w:val="fr-FR"/>
        </w:rPr>
        <w:t>SECTION 1: ADMINISTRATION</w:t>
      </w:r>
      <w:bookmarkEnd w:id="5"/>
    </w:p>
    <w:p w14:paraId="4D84A2A3" w14:textId="329CA428" w:rsidR="00C31D87" w:rsidRPr="00C7713E" w:rsidRDefault="00C250E5"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1a.</w:t>
      </w:r>
      <w:r w:rsidRPr="00C7713E">
        <w:rPr>
          <w:rFonts w:ascii="Times New Roman" w:hAnsi="Times New Roman" w:cs="Times New Roman"/>
          <w:sz w:val="28"/>
          <w:lang w:val="fr-FR"/>
        </w:rPr>
        <w:t xml:space="preserve"> </w:t>
      </w:r>
      <w:r w:rsidRPr="005B7E9B">
        <w:rPr>
          <w:rFonts w:ascii="Times New Roman" w:hAnsi="Times New Roman" w:cs="Times New Roman"/>
          <w:i/>
          <w:sz w:val="24"/>
          <w:lang w:val="fr-FR"/>
        </w:rPr>
        <w:t>Objectifs</w:t>
      </w:r>
      <w:r w:rsidRPr="00C7713E">
        <w:rPr>
          <w:rFonts w:ascii="Times New Roman" w:hAnsi="Times New Roman" w:cs="Times New Roman"/>
          <w:sz w:val="24"/>
          <w:lang w:val="fr-FR"/>
        </w:rPr>
        <w:t xml:space="preserve">. Les cibles ou les objectifs d’apprentissage poursuivis par les programmes </w:t>
      </w:r>
      <w:r w:rsidR="005B7E9B" w:rsidRPr="00A85028">
        <w:rPr>
          <w:i/>
          <w:lang w:val="fr-FR"/>
        </w:rPr>
        <w:t>POADE</w:t>
      </w:r>
      <w:r w:rsidR="005B7E9B"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doivent refléter la mission, la vision et les buts de l’institution en tant que moyen stratégique pour atteindre ces objectifs et être adoptés par l’administration et les autres parties prenantes avec le soutien de l’organe directeur. </w:t>
      </w:r>
      <w:r w:rsidR="005B7E9B">
        <w:rPr>
          <w:rFonts w:ascii="Times New Roman" w:hAnsi="Times New Roman" w:cs="Times New Roman"/>
          <w:sz w:val="24"/>
          <w:lang w:val="fr-FR"/>
        </w:rPr>
        <w:t xml:space="preserve">Le </w:t>
      </w:r>
      <w:r w:rsidR="005B7E9B" w:rsidRPr="00A85028">
        <w:rPr>
          <w:i/>
          <w:lang w:val="fr-FR"/>
        </w:rPr>
        <w:t>POADE</w:t>
      </w:r>
      <w:r w:rsidRPr="00C7713E">
        <w:rPr>
          <w:rFonts w:ascii="Times New Roman" w:hAnsi="Times New Roman" w:cs="Times New Roman"/>
          <w:sz w:val="24"/>
          <w:lang w:val="fr-FR"/>
        </w:rPr>
        <w:t xml:space="preserve"> doit être pleinement intégré dans les programmes éducatifs et les initiatives stratégiques de l’</w:t>
      </w:r>
      <w:r w:rsidR="005B7E9B">
        <w:rPr>
          <w:rFonts w:ascii="Times New Roman" w:hAnsi="Times New Roman" w:cs="Times New Roman"/>
          <w:sz w:val="24"/>
          <w:lang w:val="fr-FR"/>
        </w:rPr>
        <w:t xml:space="preserve">institution </w:t>
      </w:r>
      <w:r w:rsidRPr="00C7713E">
        <w:rPr>
          <w:rFonts w:ascii="Times New Roman" w:hAnsi="Times New Roman" w:cs="Times New Roman"/>
          <w:sz w:val="24"/>
          <w:lang w:val="fr-FR"/>
        </w:rPr>
        <w:t xml:space="preserve">afin qu’il ne soit pas une entité autonome. Il doit y avoir des preuves que le personnel enseignant participant aux programmes </w:t>
      </w:r>
      <w:r w:rsidR="005B7E9B" w:rsidRPr="00A85028">
        <w:rPr>
          <w:i/>
          <w:lang w:val="fr-FR"/>
        </w:rPr>
        <w:t>POADE</w:t>
      </w:r>
      <w:r w:rsidRPr="00C7713E">
        <w:rPr>
          <w:rFonts w:ascii="Times New Roman" w:hAnsi="Times New Roman" w:cs="Times New Roman"/>
          <w:sz w:val="24"/>
          <w:lang w:val="fr-FR"/>
        </w:rPr>
        <w:t xml:space="preserve"> et le personnel administratif participant aux programmes </w:t>
      </w:r>
      <w:r w:rsidR="005B7E9B" w:rsidRPr="00A85028">
        <w:rPr>
          <w:i/>
          <w:lang w:val="fr-FR"/>
        </w:rPr>
        <w:t>POADE</w:t>
      </w:r>
      <w:r w:rsidRPr="00C7713E">
        <w:rPr>
          <w:rFonts w:ascii="Times New Roman" w:hAnsi="Times New Roman" w:cs="Times New Roman"/>
          <w:sz w:val="24"/>
          <w:lang w:val="fr-FR"/>
        </w:rPr>
        <w:t xml:space="preserve"> de l’</w:t>
      </w:r>
      <w:r w:rsidR="00212E8E">
        <w:rPr>
          <w:rFonts w:ascii="Times New Roman" w:hAnsi="Times New Roman" w:cs="Times New Roman"/>
          <w:sz w:val="24"/>
          <w:lang w:val="fr-FR"/>
        </w:rPr>
        <w:t>institution</w:t>
      </w:r>
      <w:r w:rsidRPr="00C7713E">
        <w:rPr>
          <w:rFonts w:ascii="Times New Roman" w:hAnsi="Times New Roman" w:cs="Times New Roman"/>
          <w:sz w:val="24"/>
          <w:lang w:val="fr-FR"/>
        </w:rPr>
        <w:t xml:space="preserve"> ou exerçant une surveillance à leur égard connaissent et acceptent ces objectifs, et que des mesures sont régulièrement prises pour familiariser les é</w:t>
      </w:r>
      <w:r w:rsidR="00212E8E">
        <w:rPr>
          <w:rFonts w:ascii="Times New Roman" w:hAnsi="Times New Roman" w:cs="Times New Roman"/>
          <w:sz w:val="24"/>
          <w:lang w:val="fr-FR"/>
        </w:rPr>
        <w:t>tudiant</w:t>
      </w:r>
      <w:r w:rsidRPr="00C7713E">
        <w:rPr>
          <w:rFonts w:ascii="Times New Roman" w:hAnsi="Times New Roman" w:cs="Times New Roman"/>
          <w:sz w:val="24"/>
          <w:lang w:val="fr-FR"/>
        </w:rPr>
        <w:t>s de façon pratique avec ces objectifs et leur</w:t>
      </w:r>
      <w:r w:rsidR="00212E8E">
        <w:rPr>
          <w:rFonts w:ascii="Times New Roman" w:hAnsi="Times New Roman" w:cs="Times New Roman"/>
          <w:sz w:val="24"/>
          <w:lang w:val="fr-FR"/>
        </w:rPr>
        <w:t>s</w:t>
      </w:r>
      <w:r w:rsidRPr="00C7713E">
        <w:rPr>
          <w:rFonts w:ascii="Times New Roman" w:hAnsi="Times New Roman" w:cs="Times New Roman"/>
          <w:sz w:val="24"/>
          <w:lang w:val="fr-FR"/>
        </w:rPr>
        <w:t xml:space="preserve"> signification</w:t>
      </w:r>
      <w:r w:rsidR="00212E8E">
        <w:rPr>
          <w:rFonts w:ascii="Times New Roman" w:hAnsi="Times New Roman" w:cs="Times New Roman"/>
          <w:sz w:val="24"/>
          <w:lang w:val="fr-FR"/>
        </w:rPr>
        <w:t>s</w:t>
      </w:r>
      <w:r w:rsidR="00D515FA" w:rsidRPr="00C7713E">
        <w:rPr>
          <w:rFonts w:ascii="Times New Roman" w:hAnsi="Times New Roman" w:cs="Times New Roman"/>
          <w:sz w:val="24"/>
          <w:lang w:val="fr-FR"/>
        </w:rPr>
        <w:t xml:space="preserve">. </w:t>
      </w:r>
    </w:p>
    <w:p w14:paraId="14B27AF1" w14:textId="23A4DEBC" w:rsidR="00C31D87" w:rsidRPr="00C7713E" w:rsidRDefault="00C250E5"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1b. </w:t>
      </w:r>
      <w:r w:rsidRPr="00212E8E">
        <w:rPr>
          <w:rFonts w:ascii="Times New Roman" w:hAnsi="Times New Roman" w:cs="Times New Roman"/>
          <w:i/>
          <w:sz w:val="24"/>
          <w:lang w:val="fr-FR"/>
        </w:rPr>
        <w:t>Gouvernance</w:t>
      </w:r>
      <w:r w:rsidRPr="00C7713E">
        <w:rPr>
          <w:rFonts w:ascii="Times New Roman" w:hAnsi="Times New Roman" w:cs="Times New Roman"/>
          <w:sz w:val="24"/>
          <w:lang w:val="fr-FR"/>
        </w:rPr>
        <w:t xml:space="preserve">. La direction qui supervise les programmes </w:t>
      </w:r>
      <w:r w:rsidR="00212E8E" w:rsidRPr="00A85028">
        <w:rPr>
          <w:i/>
          <w:lang w:val="fr-FR"/>
        </w:rPr>
        <w:t>POADE</w:t>
      </w:r>
      <w:r w:rsidRPr="00C7713E">
        <w:rPr>
          <w:rFonts w:ascii="Times New Roman" w:hAnsi="Times New Roman" w:cs="Times New Roman"/>
          <w:sz w:val="24"/>
          <w:lang w:val="fr-FR"/>
        </w:rPr>
        <w:t xml:space="preserve"> doit faire partie de la direction</w:t>
      </w:r>
      <w:r w:rsidR="00212E8E">
        <w:rPr>
          <w:rFonts w:ascii="Times New Roman" w:hAnsi="Times New Roman" w:cs="Times New Roman"/>
          <w:sz w:val="24"/>
          <w:lang w:val="fr-FR"/>
        </w:rPr>
        <w:t xml:space="preserve"> générale</w:t>
      </w:r>
      <w:r w:rsidRPr="00C7713E">
        <w:rPr>
          <w:rFonts w:ascii="Times New Roman" w:hAnsi="Times New Roman" w:cs="Times New Roman"/>
          <w:sz w:val="24"/>
          <w:lang w:val="fr-FR"/>
        </w:rPr>
        <w:t xml:space="preserve"> de l’institution afin qu’elle fasse partie de l’organe décisionnel supérieur de l’institution, et un comité devrait être constitué pour gérer les programmes </w:t>
      </w:r>
      <w:r w:rsidR="00212E8E" w:rsidRPr="00A85028">
        <w:rPr>
          <w:i/>
          <w:lang w:val="fr-FR"/>
        </w:rPr>
        <w:t>POADE</w:t>
      </w:r>
      <w:r w:rsidR="00E833ED" w:rsidRPr="00C7713E">
        <w:rPr>
          <w:rFonts w:ascii="Times New Roman" w:hAnsi="Times New Roman" w:cs="Times New Roman"/>
          <w:sz w:val="24"/>
          <w:lang w:val="fr-FR"/>
        </w:rPr>
        <w:t xml:space="preserve">.  </w:t>
      </w:r>
    </w:p>
    <w:p w14:paraId="7E314981" w14:textId="5641146E" w:rsidR="00C31D87" w:rsidRPr="00C7713E" w:rsidRDefault="00C250E5" w:rsidP="003C7673">
      <w:pPr>
        <w:ind w:firstLine="720"/>
        <w:rPr>
          <w:rFonts w:ascii="Times New Roman" w:hAnsi="Times New Roman" w:cs="Times New Roman"/>
          <w:sz w:val="24"/>
          <w:lang w:val="fr-FR"/>
        </w:rPr>
      </w:pPr>
      <w:bookmarkStart w:id="6" w:name="_Hlk45361861"/>
      <w:r w:rsidRPr="00C7713E">
        <w:rPr>
          <w:rFonts w:ascii="Times New Roman" w:hAnsi="Times New Roman" w:cs="Times New Roman"/>
          <w:sz w:val="24"/>
          <w:szCs w:val="24"/>
          <w:lang w:val="fr-FR"/>
        </w:rPr>
        <w:t xml:space="preserve">1c. </w:t>
      </w:r>
      <w:r w:rsidRPr="00212E8E">
        <w:rPr>
          <w:rFonts w:ascii="Times New Roman" w:hAnsi="Times New Roman" w:cs="Times New Roman"/>
          <w:i/>
          <w:sz w:val="24"/>
          <w:szCs w:val="24"/>
          <w:lang w:val="fr-FR"/>
        </w:rPr>
        <w:t>Soutien administratif</w:t>
      </w:r>
      <w:r w:rsidRPr="00C7713E">
        <w:rPr>
          <w:rFonts w:ascii="Times New Roman" w:hAnsi="Times New Roman" w:cs="Times New Roman"/>
          <w:sz w:val="24"/>
          <w:szCs w:val="24"/>
          <w:lang w:val="fr-FR"/>
        </w:rPr>
        <w:t xml:space="preserve">. L’administration de l’institution et le conseil d’administration doivent appuyer et adopter pleinement le </w:t>
      </w:r>
      <w:r w:rsidR="00212E8E" w:rsidRPr="00A85028">
        <w:rPr>
          <w:i/>
          <w:lang w:val="fr-FR"/>
        </w:rPr>
        <w:t>POADE</w:t>
      </w:r>
      <w:r w:rsidRPr="00C7713E">
        <w:rPr>
          <w:rFonts w:ascii="Times New Roman" w:hAnsi="Times New Roman" w:cs="Times New Roman"/>
          <w:sz w:val="24"/>
          <w:szCs w:val="24"/>
          <w:lang w:val="fr-FR"/>
        </w:rPr>
        <w:t xml:space="preserve"> par la planification institutionnelle, la budgétisation, la collecte de fonds, les processus d’assurance de la qualité, les opérations actuelles, l’affectation des ressources et le développement futur. L’institution devrait maintenir une culture institutionnelle qui fait la promotion et appuie le </w:t>
      </w:r>
      <w:r w:rsidR="00212E8E" w:rsidRPr="00A85028">
        <w:rPr>
          <w:i/>
          <w:lang w:val="fr-FR"/>
        </w:rPr>
        <w:t>POADE</w:t>
      </w:r>
      <w:r w:rsidR="00E833ED" w:rsidRPr="00C7713E">
        <w:rPr>
          <w:rFonts w:ascii="Times New Roman" w:hAnsi="Times New Roman" w:cs="Times New Roman"/>
          <w:sz w:val="24"/>
          <w:lang w:val="fr-FR"/>
        </w:rPr>
        <w:t>.</w:t>
      </w:r>
    </w:p>
    <w:bookmarkEnd w:id="6"/>
    <w:p w14:paraId="768BDA42" w14:textId="476E24B3" w:rsidR="00C31D87" w:rsidRPr="00C7713E" w:rsidRDefault="00C250E5"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1d. </w:t>
      </w:r>
      <w:r w:rsidRPr="00212E8E">
        <w:rPr>
          <w:rFonts w:ascii="Times New Roman" w:hAnsi="Times New Roman" w:cs="Times New Roman"/>
          <w:i/>
          <w:sz w:val="24"/>
          <w:lang w:val="fr-FR"/>
        </w:rPr>
        <w:t>Systèmes et politiques</w:t>
      </w:r>
      <w:r w:rsidRPr="00C7713E">
        <w:rPr>
          <w:rFonts w:ascii="Times New Roman" w:hAnsi="Times New Roman" w:cs="Times New Roman"/>
          <w:sz w:val="24"/>
          <w:lang w:val="fr-FR"/>
        </w:rPr>
        <w:t>. L’établissement doit avoir des politiques qui orientent l’engagement des enseignants, des animateurs et des mentors, et l’approbation des cours dans le processus d’apprentissage. L’institution devrait également veiller à ce que des systèmes et des politiques appropriés de gestion des paiements de cours, des inscriptions, des programmes et des services de soutien non scolaires soient en place et à ce que les programmes et autres types d’informations fournis en ligne soient mis à jour et exacts. L’établissement devrait s’assurer que des politiques, des processus et des ressources sont en place pour aider les étudiants ayant divers besoins d’apprentissage.</w:t>
      </w:r>
      <w:r w:rsidR="00820E5C" w:rsidRPr="00C7713E">
        <w:rPr>
          <w:rFonts w:ascii="Times New Roman" w:hAnsi="Times New Roman" w:cs="Times New Roman"/>
          <w:sz w:val="24"/>
          <w:lang w:val="fr-FR"/>
        </w:rPr>
        <w:t xml:space="preserve"> </w:t>
      </w:r>
      <w:r w:rsidR="00D515FA" w:rsidRPr="00C7713E">
        <w:rPr>
          <w:rFonts w:ascii="Times New Roman" w:hAnsi="Times New Roman" w:cs="Times New Roman"/>
          <w:sz w:val="24"/>
          <w:lang w:val="fr-FR"/>
        </w:rPr>
        <w:t xml:space="preserve"> </w:t>
      </w:r>
    </w:p>
    <w:p w14:paraId="264C95E6" w14:textId="035590F1" w:rsidR="00C31D87" w:rsidRPr="00C7713E" w:rsidRDefault="00C250E5"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1e. </w:t>
      </w:r>
      <w:r w:rsidRPr="00212E8E">
        <w:rPr>
          <w:rFonts w:ascii="Times New Roman" w:hAnsi="Times New Roman" w:cs="Times New Roman"/>
          <w:i/>
          <w:sz w:val="24"/>
          <w:lang w:val="fr-FR"/>
        </w:rPr>
        <w:t>Soutien technique</w:t>
      </w:r>
      <w:r w:rsidRPr="00C7713E">
        <w:rPr>
          <w:rFonts w:ascii="Times New Roman" w:hAnsi="Times New Roman" w:cs="Times New Roman"/>
          <w:sz w:val="24"/>
          <w:lang w:val="fr-FR"/>
        </w:rPr>
        <w:t>. L’</w:t>
      </w:r>
      <w:r w:rsidR="00212E8E">
        <w:rPr>
          <w:rFonts w:ascii="Times New Roman" w:hAnsi="Times New Roman" w:cs="Times New Roman"/>
          <w:sz w:val="24"/>
          <w:lang w:val="fr-FR"/>
        </w:rPr>
        <w:t>institution</w:t>
      </w:r>
      <w:r w:rsidRPr="00C7713E">
        <w:rPr>
          <w:rFonts w:ascii="Times New Roman" w:hAnsi="Times New Roman" w:cs="Times New Roman"/>
          <w:sz w:val="24"/>
          <w:lang w:val="fr-FR"/>
        </w:rPr>
        <w:t xml:space="preserve"> doit s’assurer d’avoir du personnel</w:t>
      </w:r>
      <w:r w:rsidR="00395B3A">
        <w:rPr>
          <w:rFonts w:ascii="Times New Roman" w:hAnsi="Times New Roman" w:cs="Times New Roman"/>
          <w:sz w:val="24"/>
          <w:lang w:val="fr-FR"/>
        </w:rPr>
        <w:t xml:space="preserve"> qualifié qui s’assure que les Systèmes de Gestion de l’A</w:t>
      </w:r>
      <w:r w:rsidRPr="00C7713E">
        <w:rPr>
          <w:rFonts w:ascii="Times New Roman" w:hAnsi="Times New Roman" w:cs="Times New Roman"/>
          <w:sz w:val="24"/>
          <w:lang w:val="fr-FR"/>
        </w:rPr>
        <w:t>pprentissage (SGA) et d’autres syst</w:t>
      </w:r>
      <w:r w:rsidR="00395B3A">
        <w:rPr>
          <w:rFonts w:ascii="Times New Roman" w:hAnsi="Times New Roman" w:cs="Times New Roman"/>
          <w:sz w:val="24"/>
          <w:lang w:val="fr-FR"/>
        </w:rPr>
        <w:t>èmes connexes, par exemple les Systèmes d’I</w:t>
      </w:r>
      <w:r w:rsidRPr="00C7713E">
        <w:rPr>
          <w:rFonts w:ascii="Times New Roman" w:hAnsi="Times New Roman" w:cs="Times New Roman"/>
          <w:sz w:val="24"/>
          <w:lang w:val="fr-FR"/>
        </w:rPr>
        <w:t>n</w:t>
      </w:r>
      <w:r w:rsidR="00395B3A">
        <w:rPr>
          <w:rFonts w:ascii="Times New Roman" w:hAnsi="Times New Roman" w:cs="Times New Roman"/>
          <w:sz w:val="24"/>
          <w:lang w:val="fr-FR"/>
        </w:rPr>
        <w:t>formation sur les E</w:t>
      </w:r>
      <w:r w:rsidR="00212E8E">
        <w:rPr>
          <w:rFonts w:ascii="Times New Roman" w:hAnsi="Times New Roman" w:cs="Times New Roman"/>
          <w:sz w:val="24"/>
          <w:lang w:val="fr-FR"/>
        </w:rPr>
        <w:t>tudiants (SIE</w:t>
      </w:r>
      <w:r w:rsidRPr="00C7713E">
        <w:rPr>
          <w:rFonts w:ascii="Times New Roman" w:hAnsi="Times New Roman" w:cs="Times New Roman"/>
          <w:sz w:val="24"/>
          <w:lang w:val="fr-FR"/>
        </w:rPr>
        <w:t>), fonctionnent correctement, de façon sécuritaire et fiable. L’</w:t>
      </w:r>
      <w:r w:rsidR="00212E8E">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également offrir une orientation et une formation adéquates en matière d’éducation en ligne et d’apprentissage amélioré par la technologie à tous les éducateurs et au personnel participant à la conception et à l’enseignement ou à la prestation de cours en ligne. Lorsque la majeure partie du soutien du système est externalisée, il devr</w:t>
      </w:r>
      <w:r w:rsidR="00212E8E">
        <w:rPr>
          <w:rFonts w:ascii="Times New Roman" w:hAnsi="Times New Roman" w:cs="Times New Roman"/>
          <w:sz w:val="24"/>
          <w:lang w:val="fr-FR"/>
        </w:rPr>
        <w:t xml:space="preserve">ait toujours y avoir quelqu’un en </w:t>
      </w:r>
      <w:r w:rsidRPr="00C7713E">
        <w:rPr>
          <w:rFonts w:ascii="Times New Roman" w:hAnsi="Times New Roman" w:cs="Times New Roman"/>
          <w:sz w:val="24"/>
          <w:lang w:val="fr-FR"/>
        </w:rPr>
        <w:t>interne qui possède les compétences nécessaires pour aider les étudiants</w:t>
      </w:r>
      <w:r w:rsidR="00820E5C" w:rsidRPr="00C7713E">
        <w:rPr>
          <w:rFonts w:ascii="Times New Roman" w:hAnsi="Times New Roman" w:cs="Times New Roman"/>
          <w:sz w:val="24"/>
          <w:lang w:val="fr-FR"/>
        </w:rPr>
        <w:t>.</w:t>
      </w:r>
      <w:r w:rsidR="00FF72D1" w:rsidRPr="00C7713E">
        <w:rPr>
          <w:rFonts w:ascii="Times New Roman" w:hAnsi="Times New Roman" w:cs="Times New Roman"/>
          <w:sz w:val="24"/>
          <w:lang w:val="fr-FR"/>
        </w:rPr>
        <w:t xml:space="preserve"> </w:t>
      </w:r>
    </w:p>
    <w:p w14:paraId="3177255D" w14:textId="14DD053A" w:rsidR="00BE31A9"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1f. </w:t>
      </w:r>
      <w:r w:rsidRPr="00212E8E">
        <w:rPr>
          <w:rFonts w:ascii="Times New Roman" w:hAnsi="Times New Roman" w:cs="Times New Roman"/>
          <w:i/>
          <w:sz w:val="24"/>
          <w:lang w:val="fr-FR"/>
        </w:rPr>
        <w:t>Examen</w:t>
      </w:r>
      <w:r w:rsidRPr="00C7713E">
        <w:rPr>
          <w:rFonts w:ascii="Times New Roman" w:hAnsi="Times New Roman" w:cs="Times New Roman"/>
          <w:sz w:val="24"/>
          <w:lang w:val="fr-FR"/>
        </w:rPr>
        <w:t xml:space="preserve">. L’institution doit procéder régulièrement à un examen critique et à des ajustements de ses objectifs, de son programme d’études, de ses réalisations et de ses </w:t>
      </w:r>
      <w:r w:rsidRPr="00C7713E">
        <w:rPr>
          <w:rFonts w:ascii="Times New Roman" w:hAnsi="Times New Roman" w:cs="Times New Roman"/>
          <w:sz w:val="24"/>
          <w:lang w:val="fr-FR"/>
        </w:rPr>
        <w:lastRenderedPageBreak/>
        <w:t xml:space="preserve">performances. L’établissement devrait également appliquer une méthodologie d’analyse comparative pour évaluer et promouvoir la qualité dans les aspects programmatiques et institutionnels de l’apprentissage </w:t>
      </w:r>
      <w:r w:rsidR="00212E8E" w:rsidRPr="00A85028">
        <w:rPr>
          <w:i/>
          <w:lang w:val="fr-FR"/>
        </w:rPr>
        <w:t>POADE</w:t>
      </w:r>
      <w:r w:rsidR="00BE31A9" w:rsidRPr="00C7713E">
        <w:rPr>
          <w:rFonts w:ascii="Times New Roman" w:hAnsi="Times New Roman" w:cs="Times New Roman"/>
          <w:sz w:val="24"/>
          <w:lang w:val="fr-FR"/>
        </w:rPr>
        <w:t xml:space="preserve">.  </w:t>
      </w:r>
      <w:r w:rsidR="009F5E31" w:rsidRPr="00C7713E">
        <w:rPr>
          <w:rFonts w:ascii="Times New Roman" w:hAnsi="Times New Roman" w:cs="Times New Roman"/>
          <w:sz w:val="24"/>
          <w:lang w:val="fr-FR"/>
        </w:rPr>
        <w:t xml:space="preserve">  </w:t>
      </w:r>
    </w:p>
    <w:p w14:paraId="629D9091" w14:textId="77777777" w:rsidR="00BE4C30" w:rsidRPr="00C7713E" w:rsidRDefault="00BE4C30" w:rsidP="00B93567">
      <w:pPr>
        <w:spacing w:line="240" w:lineRule="auto"/>
        <w:jc w:val="both"/>
        <w:rPr>
          <w:rFonts w:ascii="Cambria" w:hAnsi="Cambria" w:cs="Times New Roman"/>
          <w:sz w:val="24"/>
          <w:szCs w:val="24"/>
          <w:lang w:val="fr-FR"/>
        </w:rPr>
      </w:pPr>
    </w:p>
    <w:p w14:paraId="539D4378" w14:textId="0DD93560" w:rsidR="00BE4C30" w:rsidRPr="00C7713E" w:rsidRDefault="005F7650" w:rsidP="008660E9">
      <w:pPr>
        <w:pStyle w:val="Heading2"/>
        <w:rPr>
          <w:b/>
          <w:bCs/>
          <w:color w:val="C45911" w:themeColor="accent2" w:themeShade="BF"/>
          <w:lang w:val="fr-FR"/>
        </w:rPr>
      </w:pPr>
      <w:bookmarkStart w:id="7" w:name="_Toc57626047"/>
      <w:r w:rsidRPr="00C7713E">
        <w:rPr>
          <w:b/>
          <w:bCs/>
          <w:color w:val="C45911" w:themeColor="accent2" w:themeShade="BF"/>
          <w:lang w:val="fr-FR"/>
        </w:rPr>
        <w:t xml:space="preserve">SECTION 2: </w:t>
      </w:r>
      <w:r w:rsidR="0093620C" w:rsidRPr="00C7713E">
        <w:rPr>
          <w:b/>
          <w:bCs/>
          <w:color w:val="C45911" w:themeColor="accent2" w:themeShade="BF"/>
          <w:lang w:val="fr-FR"/>
        </w:rPr>
        <w:t>PERSONNEL ENSEIGNANT</w:t>
      </w:r>
      <w:bookmarkEnd w:id="7"/>
    </w:p>
    <w:p w14:paraId="24B330ED" w14:textId="6A99AF44" w:rsidR="00C31D87"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2a. </w:t>
      </w:r>
      <w:r w:rsidRPr="00212E8E">
        <w:rPr>
          <w:rFonts w:ascii="Times New Roman" w:hAnsi="Times New Roman" w:cs="Times New Roman"/>
          <w:i/>
          <w:sz w:val="24"/>
          <w:lang w:val="fr-FR"/>
        </w:rPr>
        <w:t>Politiques de recrutement</w:t>
      </w:r>
      <w:r w:rsidRPr="00C7713E">
        <w:rPr>
          <w:rFonts w:ascii="Times New Roman" w:hAnsi="Times New Roman" w:cs="Times New Roman"/>
          <w:sz w:val="24"/>
          <w:lang w:val="fr-FR"/>
        </w:rPr>
        <w:t xml:space="preserve">. L’établissement doit avoir des politiques appropriées qui assurent le recrutement de personnel qualifié sur le plan académique et professionnel pour administrer et gérer les programmes </w:t>
      </w:r>
      <w:r w:rsidR="00212E8E" w:rsidRPr="00A85028">
        <w:rPr>
          <w:i/>
          <w:lang w:val="fr-FR"/>
        </w:rPr>
        <w:t>POADE</w:t>
      </w:r>
      <w:r w:rsidRPr="00C7713E">
        <w:rPr>
          <w:rFonts w:ascii="Times New Roman" w:hAnsi="Times New Roman" w:cs="Times New Roman"/>
          <w:sz w:val="24"/>
          <w:lang w:val="fr-FR"/>
        </w:rPr>
        <w:t>. L’établissement devrait également avoir des politiques et des procédures pour recruter et soutenir les enseignants, les administrateurs et/ou les techniciens ainsi que d’autres membres du personnel sur les campus locaux et de vulgarisation</w:t>
      </w:r>
      <w:r w:rsidR="00846354" w:rsidRPr="00C7713E">
        <w:rPr>
          <w:rFonts w:ascii="Times New Roman" w:hAnsi="Times New Roman" w:cs="Times New Roman"/>
          <w:sz w:val="24"/>
          <w:lang w:val="fr-FR"/>
        </w:rPr>
        <w:t xml:space="preserve">. </w:t>
      </w:r>
    </w:p>
    <w:p w14:paraId="1D6531EC" w14:textId="56DFE787" w:rsidR="00C31D87"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2b. </w:t>
      </w:r>
      <w:r w:rsidRPr="00212E8E">
        <w:rPr>
          <w:rFonts w:ascii="Times New Roman" w:hAnsi="Times New Roman" w:cs="Times New Roman"/>
          <w:i/>
          <w:sz w:val="24"/>
          <w:lang w:val="fr-FR"/>
        </w:rPr>
        <w:t>Nombre</w:t>
      </w:r>
      <w:r w:rsidR="005B4F75">
        <w:rPr>
          <w:rFonts w:ascii="Times New Roman" w:hAnsi="Times New Roman" w:cs="Times New Roman"/>
          <w:sz w:val="24"/>
          <w:lang w:val="fr-FR"/>
        </w:rPr>
        <w:t>. Les ratios étudian</w:t>
      </w:r>
      <w:r w:rsidR="005B4F75" w:rsidRPr="00C7713E">
        <w:rPr>
          <w:rFonts w:ascii="Times New Roman" w:hAnsi="Times New Roman" w:cs="Times New Roman"/>
          <w:sz w:val="24"/>
          <w:lang w:val="fr-FR"/>
        </w:rPr>
        <w:t>ts</w:t>
      </w:r>
      <w:r w:rsidRPr="00C7713E">
        <w:rPr>
          <w:rFonts w:ascii="Times New Roman" w:hAnsi="Times New Roman" w:cs="Times New Roman"/>
          <w:sz w:val="24"/>
          <w:lang w:val="fr-FR"/>
        </w:rPr>
        <w:t>-instructeurs devraient être conformes aux pratiques exemplaires de la région où se trouve l’</w:t>
      </w:r>
      <w:r w:rsidR="005B4F75">
        <w:rPr>
          <w:rFonts w:ascii="Times New Roman" w:hAnsi="Times New Roman" w:cs="Times New Roman"/>
          <w:sz w:val="24"/>
          <w:lang w:val="fr-FR"/>
        </w:rPr>
        <w:t>institution</w:t>
      </w:r>
      <w:r w:rsidR="00846354" w:rsidRPr="00C7713E">
        <w:rPr>
          <w:rFonts w:ascii="Times New Roman" w:hAnsi="Times New Roman" w:cs="Times New Roman"/>
          <w:sz w:val="24"/>
          <w:lang w:val="fr-FR"/>
        </w:rPr>
        <w:t xml:space="preserve">. </w:t>
      </w:r>
      <w:r w:rsidR="003D28F6" w:rsidRPr="00C7713E">
        <w:rPr>
          <w:rFonts w:ascii="Times New Roman" w:hAnsi="Times New Roman" w:cs="Times New Roman"/>
          <w:sz w:val="24"/>
          <w:lang w:val="fr-FR"/>
        </w:rPr>
        <w:t xml:space="preserve"> </w:t>
      </w:r>
    </w:p>
    <w:p w14:paraId="77338059" w14:textId="7B649A20" w:rsidR="00C31D87"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2c. </w:t>
      </w:r>
      <w:r w:rsidRPr="00212E8E">
        <w:rPr>
          <w:rFonts w:ascii="Times New Roman" w:hAnsi="Times New Roman" w:cs="Times New Roman"/>
          <w:i/>
          <w:sz w:val="24"/>
          <w:lang w:val="fr-FR"/>
        </w:rPr>
        <w:t>Qualifications</w:t>
      </w:r>
      <w:r w:rsidRPr="00C7713E">
        <w:rPr>
          <w:rFonts w:ascii="Times New Roman" w:hAnsi="Times New Roman" w:cs="Times New Roman"/>
          <w:sz w:val="24"/>
          <w:lang w:val="fr-FR"/>
        </w:rPr>
        <w:t>. L’</w:t>
      </w:r>
      <w:r w:rsidR="005B4F75">
        <w:rPr>
          <w:rFonts w:ascii="Times New Roman" w:hAnsi="Times New Roman" w:cs="Times New Roman"/>
          <w:sz w:val="24"/>
          <w:lang w:val="fr-FR"/>
        </w:rPr>
        <w:t xml:space="preserve">institution </w:t>
      </w:r>
      <w:r w:rsidRPr="00C7713E">
        <w:rPr>
          <w:rFonts w:ascii="Times New Roman" w:hAnsi="Times New Roman" w:cs="Times New Roman"/>
          <w:sz w:val="24"/>
          <w:lang w:val="fr-FR"/>
        </w:rPr>
        <w:t>doit recruter ou former des membres du corps professoral et des développeurs de contenu possédant des qualifications adéquates (normalement une qualification supérieure au niveau auquel le programme est offert) et des compétences démontrables en technologie éducative. Au moins un de</w:t>
      </w:r>
      <w:r w:rsidR="005B4F75">
        <w:rPr>
          <w:rFonts w:ascii="Times New Roman" w:hAnsi="Times New Roman" w:cs="Times New Roman"/>
          <w:sz w:val="24"/>
          <w:lang w:val="fr-FR"/>
        </w:rPr>
        <w:t>s</w:t>
      </w:r>
      <w:r w:rsidRPr="00C7713E">
        <w:rPr>
          <w:rFonts w:ascii="Times New Roman" w:hAnsi="Times New Roman" w:cs="Times New Roman"/>
          <w:sz w:val="24"/>
          <w:lang w:val="fr-FR"/>
        </w:rPr>
        <w:t xml:space="preserve"> membres du corps professoral doit avoir la responsabilité première </w:t>
      </w:r>
      <w:r w:rsidR="005B4F75">
        <w:rPr>
          <w:rFonts w:ascii="Times New Roman" w:hAnsi="Times New Roman" w:cs="Times New Roman"/>
          <w:sz w:val="24"/>
          <w:lang w:val="fr-FR"/>
        </w:rPr>
        <w:t xml:space="preserve">du </w:t>
      </w:r>
      <w:r w:rsidR="005B4F75" w:rsidRPr="00A85028">
        <w:rPr>
          <w:i/>
          <w:lang w:val="fr-FR"/>
        </w:rPr>
        <w:t>POADE</w:t>
      </w:r>
      <w:r w:rsidR="00C00F22" w:rsidRPr="00C7713E">
        <w:rPr>
          <w:rFonts w:ascii="Times New Roman" w:hAnsi="Times New Roman" w:cs="Times New Roman"/>
          <w:sz w:val="24"/>
          <w:lang w:val="fr-FR"/>
        </w:rPr>
        <w:t xml:space="preserve">. </w:t>
      </w:r>
    </w:p>
    <w:p w14:paraId="606ECB70" w14:textId="528B1B44" w:rsidR="00C31D87"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2d. </w:t>
      </w:r>
      <w:r w:rsidRPr="00212E8E">
        <w:rPr>
          <w:rFonts w:ascii="Times New Roman" w:hAnsi="Times New Roman" w:cs="Times New Roman"/>
          <w:i/>
          <w:sz w:val="24"/>
          <w:lang w:val="fr-FR"/>
        </w:rPr>
        <w:t>Équipe de soutien au personnel enseignant</w:t>
      </w:r>
      <w:r w:rsidRPr="00C7713E">
        <w:rPr>
          <w:rFonts w:ascii="Times New Roman" w:hAnsi="Times New Roman" w:cs="Times New Roman"/>
          <w:sz w:val="24"/>
          <w:lang w:val="fr-FR"/>
        </w:rPr>
        <w:t>. L’</w:t>
      </w:r>
      <w:r w:rsidR="005B4F75">
        <w:rPr>
          <w:rFonts w:ascii="Times New Roman" w:hAnsi="Times New Roman" w:cs="Times New Roman"/>
          <w:sz w:val="24"/>
          <w:lang w:val="fr-FR"/>
        </w:rPr>
        <w:t>institution</w:t>
      </w:r>
      <w:r w:rsidRPr="00C7713E">
        <w:rPr>
          <w:rFonts w:ascii="Times New Roman" w:hAnsi="Times New Roman" w:cs="Times New Roman"/>
          <w:sz w:val="24"/>
          <w:lang w:val="fr-FR"/>
        </w:rPr>
        <w:t xml:space="preserve"> doit recruter ou former des administrateurs, des experts en multimédia et des techniciens possédant de préférence un </w:t>
      </w:r>
      <w:r w:rsidR="005B4F75">
        <w:rPr>
          <w:rFonts w:ascii="Times New Roman" w:hAnsi="Times New Roman" w:cs="Times New Roman"/>
          <w:sz w:val="24"/>
          <w:lang w:val="fr-FR"/>
        </w:rPr>
        <w:t>une licence</w:t>
      </w:r>
      <w:r w:rsidRPr="00C7713E">
        <w:rPr>
          <w:rFonts w:ascii="Times New Roman" w:hAnsi="Times New Roman" w:cs="Times New Roman"/>
          <w:sz w:val="24"/>
          <w:lang w:val="fr-FR"/>
        </w:rPr>
        <w:t xml:space="preserve"> ou un niveau supérieur et des compétences démontrables pour appuyer et développer le mode de prestation choisi</w:t>
      </w:r>
      <w:r w:rsidR="00D515FA" w:rsidRPr="00C7713E">
        <w:rPr>
          <w:rFonts w:ascii="Times New Roman" w:hAnsi="Times New Roman" w:cs="Times New Roman"/>
          <w:sz w:val="24"/>
          <w:lang w:val="fr-FR"/>
        </w:rPr>
        <w:t xml:space="preserve">. </w:t>
      </w:r>
    </w:p>
    <w:p w14:paraId="2260AA41" w14:textId="0B052CCD" w:rsidR="00C31D87"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2e. </w:t>
      </w:r>
      <w:r w:rsidRPr="00212E8E">
        <w:rPr>
          <w:rFonts w:ascii="Times New Roman" w:hAnsi="Times New Roman" w:cs="Times New Roman"/>
          <w:i/>
          <w:sz w:val="24"/>
          <w:lang w:val="fr-FR"/>
        </w:rPr>
        <w:t>Responsabilités</w:t>
      </w:r>
      <w:r w:rsidRPr="00C7713E">
        <w:rPr>
          <w:rFonts w:ascii="Times New Roman" w:hAnsi="Times New Roman" w:cs="Times New Roman"/>
          <w:sz w:val="24"/>
          <w:lang w:val="fr-FR"/>
        </w:rPr>
        <w:t>. Les charges de travail assignées au personnel enseignant ne devraient pas dépendre du format de prestation; ainsi, les heures d’enseignement</w:t>
      </w:r>
      <w:r w:rsidR="005B4F75">
        <w:rPr>
          <w:rFonts w:ascii="Times New Roman" w:hAnsi="Times New Roman" w:cs="Times New Roman"/>
          <w:sz w:val="24"/>
          <w:lang w:val="fr-FR"/>
        </w:rPr>
        <w:t>s</w:t>
      </w:r>
      <w:r w:rsidRPr="00C7713E">
        <w:rPr>
          <w:rFonts w:ascii="Times New Roman" w:hAnsi="Times New Roman" w:cs="Times New Roman"/>
          <w:sz w:val="24"/>
          <w:lang w:val="fr-FR"/>
        </w:rPr>
        <w:t xml:space="preserve"> par semaine et par année civile attribuées à un personnel enseignant dans les programmes </w:t>
      </w:r>
      <w:r w:rsidR="005B4F75" w:rsidRPr="00A85028">
        <w:rPr>
          <w:i/>
          <w:lang w:val="fr-FR"/>
        </w:rPr>
        <w:t>POADE</w:t>
      </w:r>
      <w:r w:rsidR="005B4F75"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devraient être comparables à celles des programmes traditionnels. Néanmoins, l’</w:t>
      </w:r>
      <w:r w:rsidR="005B4F75">
        <w:rPr>
          <w:rFonts w:ascii="Times New Roman" w:hAnsi="Times New Roman" w:cs="Times New Roman"/>
          <w:sz w:val="24"/>
          <w:lang w:val="fr-FR"/>
        </w:rPr>
        <w:t xml:space="preserve">institution    </w:t>
      </w:r>
      <w:r w:rsidRPr="00C7713E">
        <w:rPr>
          <w:rFonts w:ascii="Times New Roman" w:hAnsi="Times New Roman" w:cs="Times New Roman"/>
          <w:sz w:val="24"/>
          <w:lang w:val="fr-FR"/>
        </w:rPr>
        <w:t xml:space="preserve"> devrait fournir un modèle de répartition de la charge de travail bien raisonné pour le personnel </w:t>
      </w:r>
      <w:r w:rsidR="005B4F75">
        <w:rPr>
          <w:rFonts w:ascii="Times New Roman" w:hAnsi="Times New Roman" w:cs="Times New Roman"/>
          <w:sz w:val="24"/>
          <w:lang w:val="fr-FR"/>
        </w:rPr>
        <w:t>l’académique</w:t>
      </w:r>
      <w:r w:rsidRPr="00C7713E">
        <w:rPr>
          <w:rFonts w:ascii="Times New Roman" w:hAnsi="Times New Roman" w:cs="Times New Roman"/>
          <w:sz w:val="24"/>
          <w:lang w:val="fr-FR"/>
        </w:rPr>
        <w:t xml:space="preserve"> et administratif, de préférenc</w:t>
      </w:r>
      <w:r w:rsidR="005B4F75">
        <w:rPr>
          <w:rFonts w:ascii="Times New Roman" w:hAnsi="Times New Roman" w:cs="Times New Roman"/>
          <w:sz w:val="24"/>
          <w:lang w:val="fr-FR"/>
        </w:rPr>
        <w:t>e lié à un système de gestion de</w:t>
      </w:r>
      <w:r w:rsidRPr="00C7713E">
        <w:rPr>
          <w:rFonts w:ascii="Times New Roman" w:hAnsi="Times New Roman" w:cs="Times New Roman"/>
          <w:sz w:val="24"/>
          <w:lang w:val="fr-FR"/>
        </w:rPr>
        <w:t xml:space="preserve"> </w:t>
      </w:r>
      <w:r w:rsidR="005B4F75">
        <w:rPr>
          <w:rFonts w:ascii="Times New Roman" w:hAnsi="Times New Roman" w:cs="Times New Roman"/>
          <w:sz w:val="24"/>
          <w:lang w:val="fr-FR"/>
        </w:rPr>
        <w:t>performance</w:t>
      </w:r>
      <w:r w:rsidRPr="00C7713E">
        <w:rPr>
          <w:rFonts w:ascii="Times New Roman" w:hAnsi="Times New Roman" w:cs="Times New Roman"/>
          <w:sz w:val="24"/>
          <w:lang w:val="fr-FR"/>
        </w:rPr>
        <w:t>.</w:t>
      </w:r>
    </w:p>
    <w:p w14:paraId="5D621CD6" w14:textId="49973DEA" w:rsidR="00C31D87"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2f. </w:t>
      </w:r>
      <w:r w:rsidRPr="00212E8E">
        <w:rPr>
          <w:rFonts w:ascii="Times New Roman" w:hAnsi="Times New Roman" w:cs="Times New Roman"/>
          <w:i/>
          <w:sz w:val="24"/>
          <w:lang w:val="fr-FR"/>
        </w:rPr>
        <w:t>Indemnisation et bien-être</w:t>
      </w:r>
      <w:r w:rsidRPr="00C7713E">
        <w:rPr>
          <w:rFonts w:ascii="Times New Roman" w:hAnsi="Times New Roman" w:cs="Times New Roman"/>
          <w:sz w:val="24"/>
          <w:lang w:val="fr-FR"/>
        </w:rPr>
        <w:t>. L’</w:t>
      </w:r>
      <w:r w:rsidR="005B4F75">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avoir une politique régissant la propriété intellectuelle et la rémunération des professeurs et des étudiants. Les salaires et autres équipements du personnel devraient raisonnablement se comparer aux échelles en vigueur pour des travaux similaires dans le pays et devraient faire l’objet d’un examen régulier à la lumière des changements économiques</w:t>
      </w:r>
      <w:r w:rsidR="00BA5768" w:rsidRPr="00C7713E">
        <w:rPr>
          <w:rFonts w:ascii="Times New Roman" w:hAnsi="Times New Roman" w:cs="Times New Roman"/>
          <w:sz w:val="24"/>
          <w:lang w:val="fr-FR"/>
        </w:rPr>
        <w:t>.</w:t>
      </w:r>
    </w:p>
    <w:p w14:paraId="6C70A01F" w14:textId="3BF623CC" w:rsidR="00D515FA" w:rsidRPr="00C7713E" w:rsidRDefault="0093620C"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2g. </w:t>
      </w:r>
      <w:r w:rsidRPr="00212E8E">
        <w:rPr>
          <w:rFonts w:ascii="Times New Roman" w:hAnsi="Times New Roman" w:cs="Times New Roman"/>
          <w:i/>
          <w:sz w:val="24"/>
          <w:lang w:val="fr-FR"/>
        </w:rPr>
        <w:t>Développement</w:t>
      </w:r>
      <w:r w:rsidRPr="00C7713E">
        <w:rPr>
          <w:rFonts w:ascii="Times New Roman" w:hAnsi="Times New Roman" w:cs="Times New Roman"/>
          <w:sz w:val="24"/>
          <w:lang w:val="fr-FR"/>
        </w:rPr>
        <w:t>. L’</w:t>
      </w:r>
      <w:r w:rsidR="005B4F75">
        <w:rPr>
          <w:rFonts w:ascii="Times New Roman" w:hAnsi="Times New Roman" w:cs="Times New Roman"/>
          <w:sz w:val="24"/>
          <w:lang w:val="fr-FR"/>
        </w:rPr>
        <w:t>institution</w:t>
      </w:r>
      <w:r w:rsidRPr="00C7713E">
        <w:rPr>
          <w:rFonts w:ascii="Times New Roman" w:hAnsi="Times New Roman" w:cs="Times New Roman"/>
          <w:sz w:val="24"/>
          <w:lang w:val="fr-FR"/>
        </w:rPr>
        <w:t xml:space="preserve"> doit fournir une orientation et une formation initiales en matière </w:t>
      </w:r>
      <w:r w:rsidR="005B4F75">
        <w:rPr>
          <w:rFonts w:ascii="Times New Roman" w:hAnsi="Times New Roman" w:cs="Times New Roman"/>
          <w:sz w:val="24"/>
          <w:lang w:val="fr-FR"/>
        </w:rPr>
        <w:t xml:space="preserve">de technologie et d’éducation </w:t>
      </w:r>
      <w:r w:rsidRPr="00C7713E">
        <w:rPr>
          <w:rFonts w:ascii="Times New Roman" w:hAnsi="Times New Roman" w:cs="Times New Roman"/>
          <w:sz w:val="24"/>
          <w:lang w:val="fr-FR"/>
        </w:rPr>
        <w:t>en ligne à tous les éducateurs et au personnel participant à la conception et à l’enseignement ou à la prestation de cours en ligne. L’</w:t>
      </w:r>
      <w:r w:rsidR="008A77FA">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également offrir une formation et un soutien continus aux étudiants, aux professeurs et aux membres du personnel dans le mode de prestation choisi</w:t>
      </w:r>
      <w:r w:rsidR="00846354" w:rsidRPr="00C7713E">
        <w:rPr>
          <w:rFonts w:ascii="Times New Roman" w:hAnsi="Times New Roman" w:cs="Times New Roman"/>
          <w:sz w:val="24"/>
          <w:lang w:val="fr-FR"/>
        </w:rPr>
        <w:t xml:space="preserve">. </w:t>
      </w:r>
      <w:r w:rsidR="00D515FA" w:rsidRPr="00C7713E">
        <w:rPr>
          <w:rFonts w:ascii="Times New Roman" w:hAnsi="Times New Roman" w:cs="Times New Roman"/>
          <w:sz w:val="24"/>
          <w:lang w:val="fr-FR"/>
        </w:rPr>
        <w:t xml:space="preserve"> </w:t>
      </w:r>
    </w:p>
    <w:p w14:paraId="57BB0D6D" w14:textId="77777777" w:rsidR="005F7650" w:rsidRPr="00C7713E" w:rsidRDefault="005F7650" w:rsidP="00C31D87">
      <w:pPr>
        <w:spacing w:line="240" w:lineRule="auto"/>
        <w:jc w:val="both"/>
        <w:rPr>
          <w:rFonts w:ascii="Cambria" w:hAnsi="Cambria" w:cs="Times New Roman"/>
          <w:bCs/>
          <w:iCs/>
          <w:sz w:val="24"/>
          <w:szCs w:val="24"/>
          <w:lang w:val="fr-FR"/>
        </w:rPr>
      </w:pPr>
    </w:p>
    <w:p w14:paraId="72F625C9" w14:textId="3555A05C" w:rsidR="00BE4C30" w:rsidRPr="00C7713E" w:rsidRDefault="005F7650" w:rsidP="008660E9">
      <w:pPr>
        <w:pStyle w:val="Heading2"/>
        <w:rPr>
          <w:b/>
          <w:bCs/>
          <w:color w:val="C45911" w:themeColor="accent2" w:themeShade="BF"/>
          <w:lang w:val="fr-FR"/>
        </w:rPr>
      </w:pPr>
      <w:bookmarkStart w:id="8" w:name="_Toc57626048"/>
      <w:r w:rsidRPr="00C7713E">
        <w:rPr>
          <w:b/>
          <w:bCs/>
          <w:color w:val="C45911" w:themeColor="accent2" w:themeShade="BF"/>
          <w:lang w:val="fr-FR"/>
        </w:rPr>
        <w:lastRenderedPageBreak/>
        <w:t xml:space="preserve">SECTION 3: </w:t>
      </w:r>
      <w:bookmarkEnd w:id="8"/>
      <w:r w:rsidR="00145501" w:rsidRPr="00C7713E">
        <w:rPr>
          <w:b/>
          <w:bCs/>
          <w:color w:val="C45911" w:themeColor="accent2" w:themeShade="BF"/>
          <w:lang w:val="fr-FR"/>
        </w:rPr>
        <w:t>INSTALLATIONS/ EQUIPEMENTS</w:t>
      </w:r>
      <w:r w:rsidRPr="00C7713E">
        <w:rPr>
          <w:b/>
          <w:bCs/>
          <w:color w:val="C45911" w:themeColor="accent2" w:themeShade="BF"/>
          <w:lang w:val="fr-FR"/>
        </w:rPr>
        <w:t xml:space="preserve"> </w:t>
      </w:r>
    </w:p>
    <w:p w14:paraId="752F1D16" w14:textId="0CB5C830" w:rsidR="00380500" w:rsidRPr="00C7713E" w:rsidRDefault="00145501"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3a. </w:t>
      </w:r>
      <w:r w:rsidRPr="008A77FA">
        <w:rPr>
          <w:rFonts w:ascii="Times New Roman" w:hAnsi="Times New Roman" w:cs="Times New Roman"/>
          <w:i/>
          <w:sz w:val="24"/>
          <w:lang w:val="fr-FR"/>
        </w:rPr>
        <w:t>Installations/Equipements administratifs</w:t>
      </w:r>
      <w:r w:rsidRPr="00C7713E">
        <w:rPr>
          <w:rFonts w:ascii="Times New Roman" w:hAnsi="Times New Roman" w:cs="Times New Roman"/>
          <w:sz w:val="24"/>
          <w:lang w:val="fr-FR"/>
        </w:rPr>
        <w:t xml:space="preserve">. Les </w:t>
      </w:r>
      <w:r w:rsidR="00E808C5">
        <w:rPr>
          <w:rFonts w:ascii="Times New Roman" w:hAnsi="Times New Roman" w:cs="Times New Roman"/>
          <w:sz w:val="24"/>
          <w:lang w:val="fr-FR"/>
        </w:rPr>
        <w:t>institutions</w:t>
      </w:r>
      <w:r w:rsidRPr="00C7713E">
        <w:rPr>
          <w:rFonts w:ascii="Times New Roman" w:hAnsi="Times New Roman" w:cs="Times New Roman"/>
          <w:sz w:val="24"/>
          <w:lang w:val="fr-FR"/>
        </w:rPr>
        <w:t xml:space="preserve"> qui exécutent des programmes </w:t>
      </w:r>
      <w:r w:rsidR="008A77FA" w:rsidRPr="008A77FA">
        <w:rPr>
          <w:rFonts w:ascii="Times New Roman" w:hAnsi="Times New Roman" w:cs="Times New Roman"/>
          <w:i/>
          <w:sz w:val="24"/>
          <w:lang w:val="fr-FR"/>
        </w:rPr>
        <w:t>POADE</w:t>
      </w:r>
      <w:r w:rsidRPr="00C7713E">
        <w:rPr>
          <w:rFonts w:ascii="Times New Roman" w:hAnsi="Times New Roman" w:cs="Times New Roman"/>
          <w:sz w:val="24"/>
          <w:lang w:val="fr-FR"/>
        </w:rPr>
        <w:t xml:space="preserve"> parallèlement aux programmes traditionnels doivent disposer d’installations adaptées à l’administration efficace des programmes </w:t>
      </w:r>
      <w:r w:rsidR="008A77FA">
        <w:rPr>
          <w:rFonts w:ascii="Times New Roman" w:hAnsi="Times New Roman" w:cs="Times New Roman"/>
          <w:i/>
          <w:sz w:val="24"/>
          <w:lang w:val="fr-FR"/>
        </w:rPr>
        <w:t>de POADE</w:t>
      </w:r>
      <w:r w:rsidRPr="00C7713E">
        <w:rPr>
          <w:rFonts w:ascii="Times New Roman" w:hAnsi="Times New Roman" w:cs="Times New Roman"/>
          <w:sz w:val="24"/>
          <w:lang w:val="fr-FR"/>
        </w:rPr>
        <w:t xml:space="preserve">. Normalement, cela signifie un bâtiment ou un ensemble de bureaux qui sont clairement identifiés et qui sont sous le contrôle direct </w:t>
      </w:r>
      <w:r w:rsidR="00E808C5">
        <w:rPr>
          <w:rFonts w:ascii="Times New Roman" w:hAnsi="Times New Roman" w:cs="Times New Roman"/>
          <w:sz w:val="24"/>
          <w:lang w:val="fr-FR"/>
        </w:rPr>
        <w:t>du</w:t>
      </w:r>
      <w:r w:rsidR="008A77FA">
        <w:rPr>
          <w:rFonts w:ascii="Times New Roman" w:hAnsi="Times New Roman" w:cs="Times New Roman"/>
          <w:sz w:val="24"/>
          <w:lang w:val="fr-FR"/>
        </w:rPr>
        <w:t xml:space="preserve"> </w:t>
      </w:r>
      <w:r w:rsidR="008A77FA" w:rsidRPr="008A77FA">
        <w:rPr>
          <w:rFonts w:ascii="Times New Roman" w:hAnsi="Times New Roman" w:cs="Times New Roman"/>
          <w:i/>
          <w:sz w:val="24"/>
          <w:lang w:val="fr-FR"/>
        </w:rPr>
        <w:t>POADE</w:t>
      </w:r>
      <w:r w:rsidRPr="00C7713E">
        <w:rPr>
          <w:rFonts w:ascii="Times New Roman" w:hAnsi="Times New Roman" w:cs="Times New Roman"/>
          <w:sz w:val="24"/>
          <w:lang w:val="fr-FR"/>
        </w:rPr>
        <w:t>. Les installations physiques ne sont pas nécessaires pour un établissement entièrement en ligne</w:t>
      </w:r>
      <w:r w:rsidR="00AC711D" w:rsidRPr="00C7713E">
        <w:rPr>
          <w:rFonts w:ascii="Times New Roman" w:hAnsi="Times New Roman" w:cs="Times New Roman"/>
          <w:sz w:val="24"/>
          <w:lang w:val="fr-FR"/>
        </w:rPr>
        <w:t xml:space="preserve">. </w:t>
      </w:r>
    </w:p>
    <w:p w14:paraId="4D55D370" w14:textId="735EA415" w:rsidR="00C51BE2" w:rsidRPr="00C7713E" w:rsidRDefault="00145501"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3b. </w:t>
      </w:r>
      <w:r w:rsidR="00E808C5">
        <w:rPr>
          <w:rFonts w:ascii="Times New Roman" w:hAnsi="Times New Roman" w:cs="Times New Roman"/>
          <w:i/>
          <w:sz w:val="24"/>
          <w:lang w:val="fr-FR"/>
        </w:rPr>
        <w:t>Equipements</w:t>
      </w:r>
      <w:r w:rsidRPr="00A40B71">
        <w:rPr>
          <w:rFonts w:ascii="Times New Roman" w:hAnsi="Times New Roman" w:cs="Times New Roman"/>
          <w:i/>
          <w:sz w:val="24"/>
          <w:lang w:val="fr-FR"/>
        </w:rPr>
        <w:t xml:space="preserve"> d’étude</w:t>
      </w:r>
      <w:r w:rsidRPr="00C7713E">
        <w:rPr>
          <w:rFonts w:ascii="Times New Roman" w:hAnsi="Times New Roman" w:cs="Times New Roman"/>
          <w:sz w:val="24"/>
          <w:lang w:val="fr-FR"/>
        </w:rPr>
        <w:t>. Pour les modes de prestation mixtes qui nécessitent un espace physique, l’</w:t>
      </w:r>
      <w:r w:rsidR="00E808C5">
        <w:rPr>
          <w:rFonts w:ascii="Times New Roman" w:hAnsi="Times New Roman" w:cs="Times New Roman"/>
          <w:sz w:val="24"/>
          <w:lang w:val="fr-FR"/>
        </w:rPr>
        <w:t>institution</w:t>
      </w:r>
      <w:r w:rsidRPr="00C7713E">
        <w:rPr>
          <w:rFonts w:ascii="Times New Roman" w:hAnsi="Times New Roman" w:cs="Times New Roman"/>
          <w:sz w:val="24"/>
          <w:lang w:val="fr-FR"/>
        </w:rPr>
        <w:t xml:space="preserve"> doit s’assurer que des </w:t>
      </w:r>
      <w:r w:rsidR="00E808C5">
        <w:rPr>
          <w:rFonts w:ascii="Times New Roman" w:hAnsi="Times New Roman" w:cs="Times New Roman"/>
          <w:sz w:val="24"/>
          <w:lang w:val="fr-FR"/>
        </w:rPr>
        <w:t>équipements</w:t>
      </w:r>
      <w:r w:rsidRPr="00C7713E">
        <w:rPr>
          <w:rFonts w:ascii="Times New Roman" w:hAnsi="Times New Roman" w:cs="Times New Roman"/>
          <w:sz w:val="24"/>
          <w:lang w:val="fr-FR"/>
        </w:rPr>
        <w:t xml:space="preserve"> </w:t>
      </w:r>
      <w:r w:rsidR="00AA4DDE" w:rsidRPr="00C7713E">
        <w:rPr>
          <w:rFonts w:ascii="Times New Roman" w:hAnsi="Times New Roman" w:cs="Times New Roman"/>
          <w:sz w:val="24"/>
          <w:lang w:val="fr-FR"/>
        </w:rPr>
        <w:t>d’études adéquates et facilement accessibles</w:t>
      </w:r>
      <w:r w:rsidRPr="00C7713E">
        <w:rPr>
          <w:rFonts w:ascii="Times New Roman" w:hAnsi="Times New Roman" w:cs="Times New Roman"/>
          <w:sz w:val="24"/>
          <w:lang w:val="fr-FR"/>
        </w:rPr>
        <w:t xml:space="preserve"> sont </w:t>
      </w:r>
      <w:r w:rsidR="00AA4DDE" w:rsidRPr="00C7713E">
        <w:rPr>
          <w:rFonts w:ascii="Times New Roman" w:hAnsi="Times New Roman" w:cs="Times New Roman"/>
          <w:sz w:val="24"/>
          <w:lang w:val="fr-FR"/>
        </w:rPr>
        <w:t>fournis</w:t>
      </w:r>
      <w:r w:rsidRPr="00C7713E">
        <w:rPr>
          <w:rFonts w:ascii="Times New Roman" w:hAnsi="Times New Roman" w:cs="Times New Roman"/>
          <w:sz w:val="24"/>
          <w:lang w:val="fr-FR"/>
        </w:rPr>
        <w:t xml:space="preserve"> sur le campus et sur les campus satellites. Le site, l’agencement, les structures, le mobilier et l’accès aux technologies de l’information devraient convenir aux programmes théologiques offerts par l’institution et être adaptés au contexte local. Les dispositions relatives à l’entretien devraient être suffisantes pour assurer le bon fonctionnement des installations et les dispositions relatives à la sécurité devraient convenir au réglage. L’</w:t>
      </w:r>
      <w:r w:rsidR="00AA4DDE">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démontrer un contrôle efficace des installations louées pendant les séances de classe prévues. Dans le cas des formats en ligne, les </w:t>
      </w:r>
      <w:r w:rsidR="00D32C50">
        <w:rPr>
          <w:rFonts w:ascii="Times New Roman" w:hAnsi="Times New Roman" w:cs="Times New Roman"/>
          <w:sz w:val="24"/>
          <w:lang w:val="fr-FR"/>
        </w:rPr>
        <w:t>institution</w:t>
      </w:r>
      <w:r w:rsidRPr="00C7713E">
        <w:rPr>
          <w:rFonts w:ascii="Times New Roman" w:hAnsi="Times New Roman" w:cs="Times New Roman"/>
          <w:sz w:val="24"/>
          <w:lang w:val="fr-FR"/>
        </w:rPr>
        <w:t>s d’enseignement prennent la forme de systèmes de gestion de l’apprentissage et d’information des étudiants. L’institution doit les concevoir de façon à ce qu’ils soient robustes, accessibles, navigables, libres de tout encombrement, protégés par la sécurité et esthétiquement attrayants.</w:t>
      </w:r>
    </w:p>
    <w:p w14:paraId="2910B272" w14:textId="1FC59A58" w:rsidR="00380500" w:rsidRPr="00C7713E" w:rsidRDefault="00145501"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3c. </w:t>
      </w:r>
      <w:r w:rsidRPr="00A40B71">
        <w:rPr>
          <w:rFonts w:ascii="Times New Roman" w:hAnsi="Times New Roman" w:cs="Times New Roman"/>
          <w:i/>
          <w:sz w:val="24"/>
          <w:lang w:val="fr-FR"/>
        </w:rPr>
        <w:t>Infrastructure technique et soutien</w:t>
      </w:r>
      <w:r w:rsidRPr="00C7713E">
        <w:rPr>
          <w:rFonts w:ascii="Times New Roman" w:hAnsi="Times New Roman" w:cs="Times New Roman"/>
          <w:sz w:val="24"/>
          <w:lang w:val="fr-FR"/>
        </w:rPr>
        <w:t>. L’institution doit veiller à ce que l’apprentissage en ligne soit soutenu par une infrastructure technique adéquate pour les programmes proposés. L’</w:t>
      </w:r>
      <w:r w:rsidR="00D32C50" w:rsidRPr="00C7713E">
        <w:rPr>
          <w:rFonts w:ascii="Times New Roman" w:hAnsi="Times New Roman" w:cs="Times New Roman"/>
          <w:sz w:val="24"/>
          <w:lang w:val="fr-FR"/>
        </w:rPr>
        <w:t>institution</w:t>
      </w:r>
      <w:r w:rsidRPr="00C7713E">
        <w:rPr>
          <w:rFonts w:ascii="Times New Roman" w:hAnsi="Times New Roman" w:cs="Times New Roman"/>
          <w:sz w:val="24"/>
          <w:lang w:val="fr-FR"/>
        </w:rPr>
        <w:t xml:space="preserve"> doit disposer d’un personnel qualifié qui veille au bon fonctionnement, à la sécurité et à la fiabilité des systèmes connexes. L’institution doit également veiller à ce que les systèmes de sécurité des données, de sauvegarde des données, de protection et de sauvegarde de l’alimentation soient adéquats. L’institution devrait s’assurer que les technologies qui sous-tendent </w:t>
      </w:r>
      <w:r w:rsidR="00D32C50" w:rsidRPr="00D32C50">
        <w:rPr>
          <w:rFonts w:ascii="Times New Roman" w:hAnsi="Times New Roman" w:cs="Times New Roman"/>
          <w:i/>
          <w:sz w:val="24"/>
          <w:lang w:val="fr-FR"/>
        </w:rPr>
        <w:t>POADE</w:t>
      </w:r>
      <w:r w:rsidRPr="00C7713E">
        <w:rPr>
          <w:rFonts w:ascii="Times New Roman" w:hAnsi="Times New Roman" w:cs="Times New Roman"/>
          <w:sz w:val="24"/>
          <w:lang w:val="fr-FR"/>
        </w:rPr>
        <w:t xml:space="preserve"> (c.-à-d. LMS, SIS, accès Internet, un serveur dédié ou un service d’hébergement Web, </w:t>
      </w:r>
      <w:r w:rsidR="00D32C50" w:rsidRPr="00C7713E">
        <w:rPr>
          <w:rFonts w:ascii="Times New Roman" w:hAnsi="Times New Roman" w:cs="Times New Roman"/>
          <w:sz w:val="24"/>
          <w:lang w:val="fr-FR"/>
        </w:rPr>
        <w:t>cyber sécurité</w:t>
      </w:r>
      <w:r w:rsidRPr="00C7713E">
        <w:rPr>
          <w:rFonts w:ascii="Times New Roman" w:hAnsi="Times New Roman" w:cs="Times New Roman"/>
          <w:sz w:val="24"/>
          <w:lang w:val="fr-FR"/>
        </w:rPr>
        <w:t>) sont disponibles, fonctionnent correctement et répondent aux exigences de la taille de l’institution et du nombre d’utilisateurs. L’</w:t>
      </w:r>
      <w:r w:rsidR="00D32C50" w:rsidRPr="00C7713E">
        <w:rPr>
          <w:rFonts w:ascii="Times New Roman" w:hAnsi="Times New Roman" w:cs="Times New Roman"/>
          <w:sz w:val="24"/>
          <w:lang w:val="fr-FR"/>
        </w:rPr>
        <w:t>institution</w:t>
      </w:r>
      <w:r w:rsidRPr="00C7713E">
        <w:rPr>
          <w:rFonts w:ascii="Times New Roman" w:hAnsi="Times New Roman" w:cs="Times New Roman"/>
          <w:sz w:val="24"/>
          <w:lang w:val="fr-FR"/>
        </w:rPr>
        <w:t xml:space="preserve"> doit s’assurer que les étudiants reçoivent un soutien technique rapide et efficace.</w:t>
      </w:r>
      <w:r w:rsidR="002B716E" w:rsidRPr="00C7713E">
        <w:rPr>
          <w:rFonts w:ascii="Times New Roman" w:hAnsi="Times New Roman" w:cs="Times New Roman"/>
          <w:sz w:val="24"/>
          <w:lang w:val="fr-FR"/>
        </w:rPr>
        <w:t xml:space="preserve"> </w:t>
      </w:r>
    </w:p>
    <w:p w14:paraId="7482CA8C" w14:textId="309D9291" w:rsidR="00D515FA" w:rsidRPr="00C7713E" w:rsidRDefault="00145501"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3d. </w:t>
      </w:r>
      <w:r w:rsidRPr="00A40B71">
        <w:rPr>
          <w:rFonts w:ascii="Times New Roman" w:hAnsi="Times New Roman" w:cs="Times New Roman"/>
          <w:i/>
          <w:sz w:val="24"/>
          <w:lang w:val="fr-FR"/>
        </w:rPr>
        <w:t>Ressources de la bibliothèque</w:t>
      </w:r>
      <w:r w:rsidRPr="00C7713E">
        <w:rPr>
          <w:rFonts w:ascii="Times New Roman" w:hAnsi="Times New Roman" w:cs="Times New Roman"/>
          <w:sz w:val="24"/>
          <w:lang w:val="fr-FR"/>
        </w:rPr>
        <w:t>. L’</w:t>
      </w:r>
      <w:r w:rsidR="00D32C50" w:rsidRPr="00C7713E">
        <w:rPr>
          <w:rFonts w:ascii="Times New Roman" w:hAnsi="Times New Roman" w:cs="Times New Roman"/>
          <w:sz w:val="24"/>
          <w:lang w:val="fr-FR"/>
        </w:rPr>
        <w:t>institution</w:t>
      </w:r>
      <w:r w:rsidRPr="00C7713E">
        <w:rPr>
          <w:rFonts w:ascii="Times New Roman" w:hAnsi="Times New Roman" w:cs="Times New Roman"/>
          <w:sz w:val="24"/>
          <w:lang w:val="fr-FR"/>
        </w:rPr>
        <w:t xml:space="preserve"> doit démontrer que les étudiants et le personnel enseignant disposent d’un accès en texte intégral aux ressources numériques à un niveau académique approprié pour le programme proposé. Les fonds de la bibliothèque doivent être d’une taille et d’une qualité </w:t>
      </w:r>
      <w:r w:rsidR="00D32C50" w:rsidRPr="00C7713E">
        <w:rPr>
          <w:rFonts w:ascii="Times New Roman" w:hAnsi="Times New Roman" w:cs="Times New Roman"/>
          <w:sz w:val="24"/>
          <w:lang w:val="fr-FR"/>
        </w:rPr>
        <w:t>adaptée</w:t>
      </w:r>
      <w:r w:rsidRPr="00C7713E">
        <w:rPr>
          <w:rFonts w:ascii="Times New Roman" w:hAnsi="Times New Roman" w:cs="Times New Roman"/>
          <w:sz w:val="24"/>
          <w:lang w:val="fr-FR"/>
        </w:rPr>
        <w:t xml:space="preserve"> aux programmes d’enseignement théologique de l’institution. L’</w:t>
      </w:r>
      <w:r w:rsidR="00D32C50" w:rsidRPr="00C7713E">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faciliter la formation et l’orientation appropriées pour accéder aux ressources numériques et les utiliser. L’institution doit avoir des politiques, des procédures et des mécanismes pour l’utilisation équitable des ressources des bibliothèques en ce qui concerne le droit d’auteur, le partage du consentement et la réglementation de la propriété intellectuelle</w:t>
      </w:r>
      <w:r w:rsidR="00D515FA" w:rsidRPr="00C7713E">
        <w:rPr>
          <w:rFonts w:ascii="Times New Roman" w:hAnsi="Times New Roman" w:cs="Times New Roman"/>
          <w:sz w:val="24"/>
          <w:lang w:val="fr-FR"/>
        </w:rPr>
        <w:t xml:space="preserve">. </w:t>
      </w:r>
    </w:p>
    <w:p w14:paraId="372CD4CA" w14:textId="4DEC0A0C" w:rsidR="005F7650" w:rsidRPr="00C7713E" w:rsidRDefault="005F7650" w:rsidP="00380500">
      <w:pPr>
        <w:pStyle w:val="PlainText"/>
        <w:rPr>
          <w:rFonts w:ascii="Cambria" w:hAnsi="Cambria" w:cs="Times New Roman"/>
          <w:sz w:val="24"/>
          <w:lang w:val="fr-FR"/>
        </w:rPr>
      </w:pPr>
    </w:p>
    <w:p w14:paraId="5F3AF337" w14:textId="554BADE4" w:rsidR="00280334" w:rsidRPr="00C7713E" w:rsidRDefault="005F7650" w:rsidP="008660E9">
      <w:pPr>
        <w:pStyle w:val="Heading2"/>
        <w:rPr>
          <w:b/>
          <w:bCs/>
          <w:color w:val="C45911" w:themeColor="accent2" w:themeShade="BF"/>
          <w:lang w:val="fr-FR"/>
        </w:rPr>
      </w:pPr>
      <w:bookmarkStart w:id="9" w:name="_Toc57626049"/>
      <w:r w:rsidRPr="00C7713E">
        <w:rPr>
          <w:b/>
          <w:bCs/>
          <w:color w:val="C45911" w:themeColor="accent2" w:themeShade="BF"/>
          <w:lang w:val="fr-FR"/>
        </w:rPr>
        <w:t>SECTION 4: PROGRAMMES</w:t>
      </w:r>
      <w:bookmarkEnd w:id="9"/>
      <w:r w:rsidR="00145501" w:rsidRPr="00C7713E">
        <w:rPr>
          <w:b/>
          <w:bCs/>
          <w:color w:val="C45911" w:themeColor="accent2" w:themeShade="BF"/>
          <w:lang w:val="fr-FR"/>
        </w:rPr>
        <w:t xml:space="preserve"> EDUCATIFS</w:t>
      </w:r>
    </w:p>
    <w:p w14:paraId="57451459" w14:textId="5AADB5C1" w:rsidR="00695272" w:rsidRPr="00C7713E" w:rsidRDefault="00145501"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4a. </w:t>
      </w:r>
      <w:r w:rsidRPr="00A40B71">
        <w:rPr>
          <w:rFonts w:ascii="Times New Roman" w:hAnsi="Times New Roman" w:cs="Times New Roman"/>
          <w:i/>
          <w:sz w:val="24"/>
          <w:lang w:val="fr-FR"/>
        </w:rPr>
        <w:t>Intégration des programmes</w:t>
      </w:r>
      <w:r w:rsidRPr="00C7713E">
        <w:rPr>
          <w:rFonts w:ascii="Times New Roman" w:hAnsi="Times New Roman" w:cs="Times New Roman"/>
          <w:sz w:val="24"/>
          <w:lang w:val="fr-FR"/>
        </w:rPr>
        <w:t xml:space="preserve">. Les programmes </w:t>
      </w:r>
      <w:r w:rsidR="00D32C50" w:rsidRPr="00D32C50">
        <w:rPr>
          <w:rFonts w:ascii="Times New Roman" w:hAnsi="Times New Roman" w:cs="Times New Roman"/>
          <w:i/>
          <w:sz w:val="24"/>
          <w:lang w:val="fr-FR"/>
        </w:rPr>
        <w:t>POADE</w:t>
      </w:r>
      <w:r w:rsidRPr="00C7713E">
        <w:rPr>
          <w:rFonts w:ascii="Times New Roman" w:hAnsi="Times New Roman" w:cs="Times New Roman"/>
          <w:sz w:val="24"/>
          <w:lang w:val="fr-FR"/>
        </w:rPr>
        <w:t xml:space="preserve"> doivent mettre en évidence une approche holistique, qui englobe le souci pour le développement spirituel et professionnel des é</w:t>
      </w:r>
      <w:r w:rsidR="00D32C50">
        <w:rPr>
          <w:rFonts w:ascii="Times New Roman" w:hAnsi="Times New Roman" w:cs="Times New Roman"/>
          <w:sz w:val="24"/>
          <w:lang w:val="fr-FR"/>
        </w:rPr>
        <w:t>tudiant</w:t>
      </w:r>
      <w:r w:rsidRPr="00C7713E">
        <w:rPr>
          <w:rFonts w:ascii="Times New Roman" w:hAnsi="Times New Roman" w:cs="Times New Roman"/>
          <w:sz w:val="24"/>
          <w:lang w:val="fr-FR"/>
        </w:rPr>
        <w:t xml:space="preserve">s ainsi que le développement académique. Les institutions doivent </w:t>
      </w:r>
      <w:r w:rsidRPr="00C7713E">
        <w:rPr>
          <w:rFonts w:ascii="Times New Roman" w:hAnsi="Times New Roman" w:cs="Times New Roman"/>
          <w:sz w:val="24"/>
          <w:lang w:val="fr-FR"/>
        </w:rPr>
        <w:lastRenderedPageBreak/>
        <w:t>démontrer un engagement pastoral et éducatif stratégique en faveur de partenariats actifs avec les églises locales, les organisations et les mentors afin de faciliter les aspects de l’apprentissage holistique qui ne peuvent pas être fournis adéquatement aux étudiants en ligne. Un processus et un système clairs permettant d’identifier, d’approuver, de former et de fournir des ressources locales sur le terrain devraient être en place et mis en œuvre pour chaque étudiant inscrit. L’</w:t>
      </w:r>
      <w:r w:rsidR="00D32C50" w:rsidRPr="00C7713E">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avoir un agent de liaison pour superviser ce processus. Les étudiants et les mentors locaux devraient être sensibilisés au processus, à sa justification et à leurs responsabilités au moyen de documents publiés.</w:t>
      </w:r>
      <w:r w:rsidR="00245F0E"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Des mesures correctives devraient être en place dans les cas où les élèves ne sont pas en mesure d’identifier les mentors locaux. L’</w:t>
      </w:r>
      <w:r w:rsidR="00D32C50" w:rsidRPr="00C7713E">
        <w:rPr>
          <w:rFonts w:ascii="Times New Roman" w:hAnsi="Times New Roman" w:cs="Times New Roman"/>
          <w:sz w:val="24"/>
          <w:lang w:val="fr-FR"/>
        </w:rPr>
        <w:t>institution</w:t>
      </w:r>
      <w:r w:rsidRPr="00C7713E">
        <w:rPr>
          <w:rFonts w:ascii="Times New Roman" w:hAnsi="Times New Roman" w:cs="Times New Roman"/>
          <w:sz w:val="24"/>
          <w:lang w:val="fr-FR"/>
        </w:rPr>
        <w:t xml:space="preserve"> doit démontrer, pour chacun de ses étudiants inscrits, comment la rétroaction locale et les outils d’évaluation sont utilisés pour déterminer si les résultats des cours et des études supérieures sont atteints et que la croissance dans ces domaines est démontrable dans la vie des étudiants</w:t>
      </w:r>
      <w:r w:rsidR="00245F0E" w:rsidRPr="00C7713E">
        <w:rPr>
          <w:rFonts w:ascii="Times New Roman" w:hAnsi="Times New Roman" w:cs="Times New Roman"/>
          <w:sz w:val="24"/>
          <w:lang w:val="fr-FR"/>
        </w:rPr>
        <w:t>.</w:t>
      </w:r>
    </w:p>
    <w:p w14:paraId="1498C2DB" w14:textId="6C8BBB2B" w:rsidR="00695272" w:rsidRPr="00C7713E" w:rsidRDefault="00145501"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4b. </w:t>
      </w:r>
      <w:r w:rsidRPr="00A40B71">
        <w:rPr>
          <w:rFonts w:ascii="Times New Roman" w:hAnsi="Times New Roman" w:cs="Times New Roman"/>
          <w:i/>
          <w:sz w:val="24"/>
          <w:lang w:val="fr-FR"/>
        </w:rPr>
        <w:t>Pertinence du programme</w:t>
      </w:r>
      <w:r w:rsidRPr="00C7713E">
        <w:rPr>
          <w:rFonts w:ascii="Times New Roman" w:hAnsi="Times New Roman" w:cs="Times New Roman"/>
          <w:sz w:val="24"/>
          <w:lang w:val="fr-FR"/>
        </w:rPr>
        <w:t xml:space="preserve">. Le programme d’études dans son ensemble et le contenu de chaque matière de cours doivent montrer que les programmes </w:t>
      </w:r>
      <w:r w:rsidR="00D32C50" w:rsidRPr="00D32C50">
        <w:rPr>
          <w:rFonts w:ascii="Times New Roman" w:hAnsi="Times New Roman" w:cs="Times New Roman"/>
          <w:i/>
          <w:sz w:val="24"/>
          <w:lang w:val="fr-FR"/>
        </w:rPr>
        <w:t>POADE</w:t>
      </w:r>
      <w:r w:rsidRPr="00C7713E">
        <w:rPr>
          <w:rFonts w:ascii="Times New Roman" w:hAnsi="Times New Roman" w:cs="Times New Roman"/>
          <w:sz w:val="24"/>
          <w:lang w:val="fr-FR"/>
        </w:rPr>
        <w:t xml:space="preserve"> n’ont pas été simplement empruntés à d’autres, ni simplement développés sur une base ad hoc, mais que l’institution a soigneusement planifié le programme et chaque cours soumis pour répondre à ses objectifs particuliers, pour la communauté chrétienne qu’elle sert, pour les vocations pour lesquelles les étudiants sont équipés, et pour le contexte culturel dans lequel </w:t>
      </w:r>
      <w:r w:rsidR="00395B3A">
        <w:rPr>
          <w:rFonts w:ascii="Times New Roman" w:hAnsi="Times New Roman" w:cs="Times New Roman"/>
          <w:sz w:val="24"/>
          <w:lang w:val="fr-FR"/>
        </w:rPr>
        <w:t>ceux-ci</w:t>
      </w:r>
      <w:r w:rsidRPr="00C7713E">
        <w:rPr>
          <w:rFonts w:ascii="Times New Roman" w:hAnsi="Times New Roman" w:cs="Times New Roman"/>
          <w:sz w:val="24"/>
          <w:lang w:val="fr-FR"/>
        </w:rPr>
        <w:t xml:space="preserve"> serviront. Les interactions d’apprentissage et les tâches d’apprentissage devraient encourager à relier chaque cours aux contextes culturels, religieux et communautaires des é</w:t>
      </w:r>
      <w:r w:rsidR="00395B3A">
        <w:rPr>
          <w:rFonts w:ascii="Times New Roman" w:hAnsi="Times New Roman" w:cs="Times New Roman"/>
          <w:sz w:val="24"/>
          <w:lang w:val="fr-FR"/>
        </w:rPr>
        <w:t>tudiants</w:t>
      </w:r>
      <w:r w:rsidRPr="00C7713E">
        <w:rPr>
          <w:rFonts w:ascii="Times New Roman" w:hAnsi="Times New Roman" w:cs="Times New Roman"/>
          <w:sz w:val="24"/>
          <w:lang w:val="fr-FR"/>
        </w:rPr>
        <w:t>. La sélection des ressources d’apprentissage devrait également montrer une sensibilité à la pertinence contextuelle</w:t>
      </w:r>
      <w:r w:rsidR="0024568F" w:rsidRPr="00C7713E">
        <w:rPr>
          <w:rFonts w:ascii="Times New Roman" w:hAnsi="Times New Roman" w:cs="Times New Roman"/>
          <w:sz w:val="24"/>
          <w:lang w:val="fr-FR"/>
        </w:rPr>
        <w:t xml:space="preserve">. </w:t>
      </w:r>
    </w:p>
    <w:p w14:paraId="5CF35401" w14:textId="7B6E41B4"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4c. </w:t>
      </w:r>
      <w:r w:rsidRPr="00A40B71">
        <w:rPr>
          <w:rFonts w:ascii="Times New Roman" w:hAnsi="Times New Roman" w:cs="Times New Roman"/>
          <w:i/>
          <w:sz w:val="24"/>
          <w:lang w:val="fr-FR"/>
        </w:rPr>
        <w:t>Accès et orientation des é</w:t>
      </w:r>
      <w:r w:rsidR="00395B3A">
        <w:rPr>
          <w:rFonts w:ascii="Times New Roman" w:hAnsi="Times New Roman" w:cs="Times New Roman"/>
          <w:i/>
          <w:sz w:val="24"/>
          <w:lang w:val="fr-FR"/>
        </w:rPr>
        <w:t>tudiant</w:t>
      </w:r>
      <w:r w:rsidRPr="00A40B71">
        <w:rPr>
          <w:rFonts w:ascii="Times New Roman" w:hAnsi="Times New Roman" w:cs="Times New Roman"/>
          <w:i/>
          <w:sz w:val="24"/>
          <w:lang w:val="fr-FR"/>
        </w:rPr>
        <w:t>s</w:t>
      </w:r>
      <w:r w:rsidRPr="00C7713E">
        <w:rPr>
          <w:rFonts w:ascii="Times New Roman" w:hAnsi="Times New Roman" w:cs="Times New Roman"/>
          <w:sz w:val="24"/>
          <w:lang w:val="fr-FR"/>
        </w:rPr>
        <w:t>. L’</w:t>
      </w:r>
      <w:r w:rsidR="00395B3A">
        <w:rPr>
          <w:rFonts w:ascii="Times New Roman" w:hAnsi="Times New Roman" w:cs="Times New Roman"/>
          <w:sz w:val="24"/>
          <w:lang w:val="fr-FR"/>
        </w:rPr>
        <w:t>institution</w:t>
      </w:r>
      <w:r w:rsidRPr="00C7713E">
        <w:rPr>
          <w:rFonts w:ascii="Times New Roman" w:hAnsi="Times New Roman" w:cs="Times New Roman"/>
          <w:sz w:val="24"/>
          <w:lang w:val="fr-FR"/>
        </w:rPr>
        <w:t xml:space="preserve"> doit assurer l’accès aux ressources d’apprentissage et aux services de soutien nécessaires à tous les étudiants, y compris le mentorat, les conseils </w:t>
      </w:r>
      <w:r w:rsidR="00395B3A">
        <w:rPr>
          <w:rFonts w:ascii="Times New Roman" w:hAnsi="Times New Roman" w:cs="Times New Roman"/>
          <w:sz w:val="24"/>
          <w:lang w:val="fr-FR"/>
        </w:rPr>
        <w:t>académiques</w:t>
      </w:r>
      <w:r w:rsidRPr="00C7713E">
        <w:rPr>
          <w:rFonts w:ascii="Times New Roman" w:hAnsi="Times New Roman" w:cs="Times New Roman"/>
          <w:sz w:val="24"/>
          <w:lang w:val="fr-FR"/>
        </w:rPr>
        <w:t>, les outils de recherche et une gamme adéquate de ressources d’apprentissage pertinentes. Pour les études supérieures, les ressources d’apprentissage fournies ou mises à disposition devraient permettre aux étudiants de maîtriser les matières étudiées en leur donnant accès à un éventail adéquat de littérature critique traitant de leur domaine d’apprentissage, surtout pour les diplômes d’études supérieures axés sur la recherche</w:t>
      </w:r>
      <w:r w:rsidR="00C94B21"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 xml:space="preserve">Les fournisseurs de cours en ligne doivent s’assurer que tous leurs étudiants ont accès à une gamme adéquate de sources critiques pertinentes au niveau </w:t>
      </w:r>
      <w:r w:rsidR="00395B3A" w:rsidRPr="00C7713E">
        <w:rPr>
          <w:rFonts w:ascii="Times New Roman" w:hAnsi="Times New Roman" w:cs="Times New Roman"/>
          <w:sz w:val="24"/>
          <w:lang w:val="fr-FR"/>
        </w:rPr>
        <w:t>postuniversitaire</w:t>
      </w:r>
      <w:r w:rsidRPr="00C7713E">
        <w:rPr>
          <w:rFonts w:ascii="Times New Roman" w:hAnsi="Times New Roman" w:cs="Times New Roman"/>
          <w:sz w:val="24"/>
          <w:lang w:val="fr-FR"/>
        </w:rPr>
        <w:t xml:space="preserve"> et à une vaste gamme de ces sources au niveau du doctorat. L’accès immédiat des étudiants à un ou plus</w:t>
      </w:r>
      <w:r w:rsidR="00395B3A">
        <w:rPr>
          <w:rFonts w:ascii="Times New Roman" w:hAnsi="Times New Roman" w:cs="Times New Roman"/>
          <w:sz w:val="24"/>
          <w:lang w:val="fr-FR"/>
        </w:rPr>
        <w:t>ieurs Spécialistes et Experts en la Matière (SEM</w:t>
      </w:r>
      <w:r w:rsidRPr="00C7713E">
        <w:rPr>
          <w:rFonts w:ascii="Times New Roman" w:hAnsi="Times New Roman" w:cs="Times New Roman"/>
          <w:sz w:val="24"/>
          <w:lang w:val="fr-FR"/>
        </w:rPr>
        <w:t>) devrait être prévu pour les programmes de troisième cycle en ligne. </w:t>
      </w:r>
      <w:r w:rsidR="00395B3A">
        <w:rPr>
          <w:rFonts w:ascii="Times New Roman" w:hAnsi="Times New Roman" w:cs="Times New Roman"/>
          <w:sz w:val="24"/>
          <w:lang w:val="fr-FR"/>
        </w:rPr>
        <w:t xml:space="preserve">Les SEM </w:t>
      </w:r>
      <w:r w:rsidRPr="00C7713E">
        <w:rPr>
          <w:rFonts w:ascii="Times New Roman" w:hAnsi="Times New Roman" w:cs="Times New Roman"/>
          <w:sz w:val="24"/>
          <w:lang w:val="fr-FR"/>
        </w:rPr>
        <w:t>peu</w:t>
      </w:r>
      <w:r w:rsidR="00C66BA8">
        <w:rPr>
          <w:rFonts w:ascii="Times New Roman" w:hAnsi="Times New Roman" w:cs="Times New Roman"/>
          <w:sz w:val="24"/>
          <w:lang w:val="fr-FR"/>
        </w:rPr>
        <w:t>ven</w:t>
      </w:r>
      <w:r w:rsidRPr="00C7713E">
        <w:rPr>
          <w:rFonts w:ascii="Times New Roman" w:hAnsi="Times New Roman" w:cs="Times New Roman"/>
          <w:sz w:val="24"/>
          <w:lang w:val="fr-FR"/>
        </w:rPr>
        <w:t>t être autre</w:t>
      </w:r>
      <w:r w:rsidR="00C66BA8">
        <w:rPr>
          <w:rFonts w:ascii="Times New Roman" w:hAnsi="Times New Roman" w:cs="Times New Roman"/>
          <w:sz w:val="24"/>
          <w:lang w:val="fr-FR"/>
        </w:rPr>
        <w:t>s</w:t>
      </w:r>
      <w:r w:rsidRPr="00C7713E">
        <w:rPr>
          <w:rFonts w:ascii="Times New Roman" w:hAnsi="Times New Roman" w:cs="Times New Roman"/>
          <w:sz w:val="24"/>
          <w:lang w:val="fr-FR"/>
        </w:rPr>
        <w:t xml:space="preserve"> que l’enseignant ou l’animateur du cours. De plus, des éléments d’accueil, d’orientation et d’introduction doivent être fournis pour chaque cours et programme. Les étudiants doivent savoir comment accéder à un soutien technique, pastoral, pédagogique ou administratif si nécessaire</w:t>
      </w:r>
      <w:r w:rsidR="007F2EA9" w:rsidRPr="00C7713E">
        <w:rPr>
          <w:rFonts w:ascii="Times New Roman" w:hAnsi="Times New Roman" w:cs="Times New Roman"/>
          <w:sz w:val="24"/>
          <w:lang w:val="fr-FR"/>
        </w:rPr>
        <w:t xml:space="preserve">. </w:t>
      </w:r>
    </w:p>
    <w:p w14:paraId="30837EDC" w14:textId="478BBE41"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4d. </w:t>
      </w:r>
      <w:r w:rsidRPr="00A40B71">
        <w:rPr>
          <w:rFonts w:ascii="Times New Roman" w:hAnsi="Times New Roman" w:cs="Times New Roman"/>
          <w:i/>
          <w:sz w:val="24"/>
          <w:lang w:val="fr-FR"/>
        </w:rPr>
        <w:t>Publication du programme</w:t>
      </w:r>
      <w:r w:rsidRPr="00C7713E">
        <w:rPr>
          <w:rFonts w:ascii="Times New Roman" w:hAnsi="Times New Roman" w:cs="Times New Roman"/>
          <w:sz w:val="24"/>
          <w:lang w:val="fr-FR"/>
        </w:rPr>
        <w:t>. Les programmes actuels d’enseignement théologique de l’institution, avec leur justification, devraient être disponibles et accessibles. Un syllabus pour chaque matière de cours, mis à jour régulièrement, doit être disponible et accessible sur la plateforme d’apprentissage. Une explication du système de marquage de l’institution devrait également être disponible et accessible</w:t>
      </w:r>
      <w:r w:rsidR="00C94B21" w:rsidRPr="00C7713E">
        <w:rPr>
          <w:rFonts w:ascii="Times New Roman" w:hAnsi="Times New Roman" w:cs="Times New Roman"/>
          <w:sz w:val="24"/>
          <w:lang w:val="fr-FR"/>
        </w:rPr>
        <w:t xml:space="preserve">.   </w:t>
      </w:r>
    </w:p>
    <w:p w14:paraId="124954B7" w14:textId="18431853"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lastRenderedPageBreak/>
        <w:t xml:space="preserve">4e. </w:t>
      </w:r>
      <w:r w:rsidRPr="00A40B71">
        <w:rPr>
          <w:rFonts w:ascii="Times New Roman" w:hAnsi="Times New Roman" w:cs="Times New Roman"/>
          <w:i/>
          <w:sz w:val="24"/>
          <w:lang w:val="fr-FR"/>
        </w:rPr>
        <w:t>Équilibre des programmes d’études</w:t>
      </w:r>
      <w:r w:rsidRPr="00C7713E">
        <w:rPr>
          <w:rFonts w:ascii="Times New Roman" w:hAnsi="Times New Roman" w:cs="Times New Roman"/>
          <w:sz w:val="24"/>
          <w:lang w:val="fr-FR"/>
        </w:rPr>
        <w:t>. Le contenu du programme d’enseignement théologique de l’institution doit être justifié par rapport à la diffusion normale des matières dans les programmes théologiques du niveau académique pertinent, en ce qui concerne les domaines bibliques, théologiques, historiques, pratiques et générales d’étude. Il ne doit pas non plus y avoir d’omission importante ni de chevauchement indu dans l’ensemble des connaissances et des compétences transmises.</w:t>
      </w:r>
      <w:r w:rsidR="004D28FD" w:rsidRPr="00C7713E">
        <w:rPr>
          <w:rFonts w:ascii="Times New Roman" w:hAnsi="Times New Roman" w:cs="Times New Roman"/>
          <w:sz w:val="24"/>
          <w:lang w:val="fr-FR"/>
        </w:rPr>
        <w:t xml:space="preserve"> </w:t>
      </w:r>
    </w:p>
    <w:p w14:paraId="39971FDF" w14:textId="343BCD6A"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4f. </w:t>
      </w:r>
      <w:r w:rsidRPr="00A40B71">
        <w:rPr>
          <w:rFonts w:ascii="Times New Roman" w:hAnsi="Times New Roman" w:cs="Times New Roman"/>
          <w:i/>
          <w:sz w:val="24"/>
          <w:lang w:val="fr-FR"/>
        </w:rPr>
        <w:t>Diffusion du contenu</w:t>
      </w:r>
      <w:r w:rsidRPr="00C7713E">
        <w:rPr>
          <w:rFonts w:ascii="Times New Roman" w:hAnsi="Times New Roman" w:cs="Times New Roman"/>
          <w:sz w:val="24"/>
          <w:lang w:val="fr-FR"/>
        </w:rPr>
        <w:t>. Les méthodes de diffusion du contenu sont choisies pour assurer un engagement actif et varié fréquent des é</w:t>
      </w:r>
      <w:r w:rsidR="00C66BA8">
        <w:rPr>
          <w:rFonts w:ascii="Times New Roman" w:hAnsi="Times New Roman" w:cs="Times New Roman"/>
          <w:sz w:val="24"/>
          <w:lang w:val="fr-FR"/>
        </w:rPr>
        <w:t>tudiant</w:t>
      </w:r>
      <w:r w:rsidRPr="00C7713E">
        <w:rPr>
          <w:rFonts w:ascii="Times New Roman" w:hAnsi="Times New Roman" w:cs="Times New Roman"/>
          <w:sz w:val="24"/>
          <w:lang w:val="fr-FR"/>
        </w:rPr>
        <w:t>s à l’égard du matériel d’apprentissage. Ces méthodes de prestation doivent être adaptées à la charge de travail des étudiants dans chaque classe, unité ou module et au niveau de technologie disponible pour les enseignants et les étudiants</w:t>
      </w:r>
      <w:r w:rsidR="00967FFD" w:rsidRPr="00C7713E">
        <w:rPr>
          <w:rFonts w:ascii="Times New Roman" w:hAnsi="Times New Roman" w:cs="Times New Roman"/>
          <w:sz w:val="24"/>
          <w:lang w:val="fr-FR"/>
        </w:rPr>
        <w:t xml:space="preserve">. </w:t>
      </w:r>
    </w:p>
    <w:p w14:paraId="04954D32" w14:textId="54608D45"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4g. </w:t>
      </w:r>
      <w:r w:rsidRPr="00A40B71">
        <w:rPr>
          <w:rFonts w:ascii="Times New Roman" w:hAnsi="Times New Roman" w:cs="Times New Roman"/>
          <w:i/>
          <w:sz w:val="24"/>
          <w:lang w:val="fr-FR"/>
        </w:rPr>
        <w:t>Activités d’apprentissage</w:t>
      </w:r>
      <w:r w:rsidRPr="00C7713E">
        <w:rPr>
          <w:rFonts w:ascii="Times New Roman" w:hAnsi="Times New Roman" w:cs="Times New Roman"/>
          <w:sz w:val="24"/>
          <w:lang w:val="fr-FR"/>
        </w:rPr>
        <w:t>. Chaque cours doit comporter une variété d’activités d’apprentissage. Les activités d’apprentissage doivent favoriser un environnement d’apprentissage sécuritaire pour la collaboration afin que les é</w:t>
      </w:r>
      <w:r w:rsidR="00C66BA8">
        <w:rPr>
          <w:rFonts w:ascii="Times New Roman" w:hAnsi="Times New Roman" w:cs="Times New Roman"/>
          <w:sz w:val="24"/>
          <w:lang w:val="fr-FR"/>
        </w:rPr>
        <w:t>tudiant</w:t>
      </w:r>
      <w:r w:rsidRPr="00C7713E">
        <w:rPr>
          <w:rFonts w:ascii="Times New Roman" w:hAnsi="Times New Roman" w:cs="Times New Roman"/>
          <w:sz w:val="24"/>
          <w:lang w:val="fr-FR"/>
        </w:rPr>
        <w:t>s puissent sentir qu’ils font partie de la classe et se faire entendre avec respect. Les activités d’apprentissage choisies doivent contribuer intentionnellement à l’atteinte des objectifs et des résultats d’apprentissage des leçons et des cours. Chaque cours doit inclure des dispositions spéciales pour soutenir les résultats éducatifs holistiques (pour le cours et le programme global)</w:t>
      </w:r>
      <w:r w:rsidR="005F21BC" w:rsidRPr="00C7713E">
        <w:rPr>
          <w:rFonts w:ascii="Times New Roman" w:hAnsi="Times New Roman" w:cs="Times New Roman"/>
          <w:sz w:val="24"/>
          <w:lang w:val="fr-FR"/>
        </w:rPr>
        <w:t xml:space="preserve">. </w:t>
      </w:r>
    </w:p>
    <w:p w14:paraId="4F952AE1" w14:textId="0E4A64B1"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4h. </w:t>
      </w:r>
      <w:r w:rsidRPr="00A40B71">
        <w:rPr>
          <w:rFonts w:ascii="Times New Roman" w:hAnsi="Times New Roman" w:cs="Times New Roman"/>
          <w:i/>
          <w:sz w:val="24"/>
          <w:lang w:val="fr-FR"/>
        </w:rPr>
        <w:t>Expérience pratique guidée</w:t>
      </w:r>
      <w:r w:rsidRPr="00C7713E">
        <w:rPr>
          <w:rFonts w:ascii="Times New Roman" w:hAnsi="Times New Roman" w:cs="Times New Roman"/>
          <w:sz w:val="24"/>
          <w:lang w:val="fr-FR"/>
        </w:rPr>
        <w:t xml:space="preserve">. Les programmes </w:t>
      </w:r>
      <w:r w:rsidR="00C66BA8" w:rsidRPr="00C66BA8">
        <w:rPr>
          <w:rFonts w:ascii="Times New Roman" w:hAnsi="Times New Roman" w:cs="Times New Roman"/>
          <w:i/>
          <w:sz w:val="24"/>
          <w:lang w:val="fr-FR"/>
        </w:rPr>
        <w:t>POADE</w:t>
      </w:r>
      <w:r w:rsidRPr="00C7713E">
        <w:rPr>
          <w:rFonts w:ascii="Times New Roman" w:hAnsi="Times New Roman" w:cs="Times New Roman"/>
          <w:sz w:val="24"/>
          <w:lang w:val="fr-FR"/>
        </w:rPr>
        <w:t xml:space="preserve"> doivent intégrer dans les programmes d’études des dispositions pour l’expérience pratique guidée dans les professions spécifiques du ministère pour lesquelles les étudiants individuels sont équipés. Cette expérience guidée doit être supervisée sur place ou à distance par des mentors qualifiés, et cette supervision doit être surveillée par l’</w:t>
      </w:r>
      <w:r w:rsidR="00C66BA8">
        <w:rPr>
          <w:rFonts w:ascii="Times New Roman" w:hAnsi="Times New Roman" w:cs="Times New Roman"/>
          <w:sz w:val="24"/>
          <w:lang w:val="fr-FR"/>
        </w:rPr>
        <w:t>institution</w:t>
      </w:r>
      <w:r w:rsidR="00C94B21" w:rsidRPr="00C7713E">
        <w:rPr>
          <w:rFonts w:ascii="Times New Roman" w:hAnsi="Times New Roman" w:cs="Times New Roman"/>
          <w:sz w:val="24"/>
          <w:lang w:val="fr-FR"/>
        </w:rPr>
        <w:t xml:space="preserve">. </w:t>
      </w:r>
    </w:p>
    <w:p w14:paraId="03B426BA" w14:textId="270EAA93" w:rsidR="00695272"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4i. </w:t>
      </w:r>
      <w:r w:rsidRPr="00A40B71">
        <w:rPr>
          <w:rFonts w:ascii="Times New Roman" w:hAnsi="Times New Roman" w:cs="Times New Roman"/>
          <w:i/>
          <w:sz w:val="24"/>
          <w:lang w:val="fr-FR"/>
        </w:rPr>
        <w:t>Évaluation et intégrité des é</w:t>
      </w:r>
      <w:r w:rsidR="00C66BA8">
        <w:rPr>
          <w:rFonts w:ascii="Times New Roman" w:hAnsi="Times New Roman" w:cs="Times New Roman"/>
          <w:i/>
          <w:sz w:val="24"/>
          <w:lang w:val="fr-FR"/>
        </w:rPr>
        <w:t>tudiant</w:t>
      </w:r>
      <w:r w:rsidRPr="00A40B71">
        <w:rPr>
          <w:rFonts w:ascii="Times New Roman" w:hAnsi="Times New Roman" w:cs="Times New Roman"/>
          <w:i/>
          <w:sz w:val="24"/>
          <w:lang w:val="fr-FR"/>
        </w:rPr>
        <w:t>s</w:t>
      </w:r>
      <w:r w:rsidRPr="00C7713E">
        <w:rPr>
          <w:rFonts w:ascii="Times New Roman" w:hAnsi="Times New Roman" w:cs="Times New Roman"/>
          <w:sz w:val="24"/>
          <w:lang w:val="fr-FR"/>
        </w:rPr>
        <w:t>. L’</w:t>
      </w:r>
      <w:r w:rsidR="00C66BA8">
        <w:rPr>
          <w:rFonts w:ascii="Times New Roman" w:hAnsi="Times New Roman" w:cs="Times New Roman"/>
          <w:sz w:val="24"/>
          <w:lang w:val="fr-FR"/>
        </w:rPr>
        <w:t>institution</w:t>
      </w:r>
      <w:r w:rsidRPr="00C7713E">
        <w:rPr>
          <w:rFonts w:ascii="Times New Roman" w:hAnsi="Times New Roman" w:cs="Times New Roman"/>
          <w:sz w:val="24"/>
          <w:lang w:val="fr-FR"/>
        </w:rPr>
        <w:t xml:space="preserve"> doit avoir des lignes directrices pour recueillir, surveiller, évaluer et utiliser l’information sur la croissance holistique des étudiants afin de les aider à prendre de meilleures décisions. L’</w:t>
      </w:r>
      <w:r w:rsidR="00C66BA8">
        <w:rPr>
          <w:rFonts w:ascii="Times New Roman" w:hAnsi="Times New Roman" w:cs="Times New Roman"/>
          <w:sz w:val="24"/>
          <w:lang w:val="fr-FR"/>
        </w:rPr>
        <w:t>institution</w:t>
      </w:r>
      <w:r w:rsidRPr="00C7713E">
        <w:rPr>
          <w:rFonts w:ascii="Times New Roman" w:hAnsi="Times New Roman" w:cs="Times New Roman"/>
          <w:sz w:val="24"/>
          <w:lang w:val="fr-FR"/>
        </w:rPr>
        <w:t xml:space="preserve"> doit établir des mécanismes de rétroaction rapide et régulière des étudiants. L’</w:t>
      </w:r>
      <w:r w:rsidR="00C66BA8">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surveiller les progrès des étudiants et les taux d’abandon en vue d’éliminer les obstacles inutiles à la réussite et à la</w:t>
      </w:r>
      <w:r w:rsidR="00C66BA8">
        <w:rPr>
          <w:rFonts w:ascii="Times New Roman" w:hAnsi="Times New Roman" w:cs="Times New Roman"/>
          <w:sz w:val="24"/>
          <w:lang w:val="fr-FR"/>
        </w:rPr>
        <w:t xml:space="preserve"> satisfaction des étudiants du </w:t>
      </w:r>
      <w:r w:rsidR="00C66BA8" w:rsidRPr="00C66BA8">
        <w:rPr>
          <w:rFonts w:ascii="Times New Roman" w:hAnsi="Times New Roman" w:cs="Times New Roman"/>
          <w:i/>
          <w:sz w:val="24"/>
          <w:lang w:val="fr-FR"/>
        </w:rPr>
        <w:t>POADE</w:t>
      </w:r>
      <w:r w:rsidRPr="00C7713E">
        <w:rPr>
          <w:rFonts w:ascii="Times New Roman" w:hAnsi="Times New Roman" w:cs="Times New Roman"/>
          <w:sz w:val="24"/>
          <w:lang w:val="fr-FR"/>
        </w:rPr>
        <w:t>. L’institution doit disposer de politiques et de mécanismes appropriés pour se prémunir contre la tricherie, en particulier le plagiat et l’usurpation d’identité.</w:t>
      </w:r>
      <w:r w:rsidR="00200F05" w:rsidRPr="00C7713E">
        <w:rPr>
          <w:rFonts w:ascii="Times New Roman" w:hAnsi="Times New Roman" w:cs="Times New Roman"/>
          <w:sz w:val="24"/>
          <w:lang w:val="fr-FR"/>
        </w:rPr>
        <w:t xml:space="preserve">  </w:t>
      </w:r>
    </w:p>
    <w:p w14:paraId="108D2F78" w14:textId="72607D0D" w:rsidR="00344598" w:rsidRPr="00C7713E" w:rsidRDefault="00A02936"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4j. </w:t>
      </w:r>
      <w:r w:rsidRPr="00A40B71">
        <w:rPr>
          <w:rFonts w:ascii="Times New Roman" w:hAnsi="Times New Roman" w:cs="Times New Roman"/>
          <w:i/>
          <w:sz w:val="24"/>
          <w:lang w:val="fr-FR"/>
        </w:rPr>
        <w:t>Admissions</w:t>
      </w:r>
      <w:r w:rsidRPr="00C7713E">
        <w:rPr>
          <w:rFonts w:ascii="Times New Roman" w:hAnsi="Times New Roman" w:cs="Times New Roman"/>
          <w:sz w:val="24"/>
          <w:lang w:val="fr-FR"/>
        </w:rPr>
        <w:t>. L’</w:t>
      </w:r>
      <w:r w:rsidR="00C66BA8">
        <w:rPr>
          <w:rFonts w:ascii="Times New Roman" w:hAnsi="Times New Roman" w:cs="Times New Roman"/>
          <w:sz w:val="24"/>
          <w:lang w:val="fr-FR"/>
        </w:rPr>
        <w:t>institution</w:t>
      </w:r>
      <w:r w:rsidRPr="00C7713E">
        <w:rPr>
          <w:rFonts w:ascii="Times New Roman" w:hAnsi="Times New Roman" w:cs="Times New Roman"/>
          <w:sz w:val="24"/>
          <w:lang w:val="fr-FR"/>
        </w:rPr>
        <w:t xml:space="preserve"> doit avoir des politiques, des procédures et du matériel pour l’admission des étudiants </w:t>
      </w:r>
      <w:r w:rsidR="00C66BA8" w:rsidRPr="00C66BA8">
        <w:rPr>
          <w:rFonts w:ascii="Times New Roman" w:hAnsi="Times New Roman" w:cs="Times New Roman"/>
          <w:i/>
          <w:sz w:val="24"/>
          <w:lang w:val="fr-FR"/>
        </w:rPr>
        <w:t>POADE</w:t>
      </w:r>
      <w:r w:rsidRPr="00C7713E">
        <w:rPr>
          <w:rFonts w:ascii="Times New Roman" w:hAnsi="Times New Roman" w:cs="Times New Roman"/>
          <w:sz w:val="24"/>
          <w:lang w:val="fr-FR"/>
        </w:rPr>
        <w:t xml:space="preserve"> en conformité avec le système d’éducation national local et les normes A</w:t>
      </w:r>
      <w:r w:rsidR="00C66BA8">
        <w:rPr>
          <w:rFonts w:ascii="Times New Roman" w:hAnsi="Times New Roman" w:cs="Times New Roman"/>
          <w:sz w:val="24"/>
          <w:lang w:val="fr-FR"/>
        </w:rPr>
        <w:t>ETCA</w:t>
      </w:r>
      <w:r w:rsidRPr="00C7713E">
        <w:rPr>
          <w:rFonts w:ascii="Times New Roman" w:hAnsi="Times New Roman" w:cs="Times New Roman"/>
          <w:sz w:val="24"/>
          <w:lang w:val="fr-FR"/>
        </w:rPr>
        <w:t>. Une attention particulière d</w:t>
      </w:r>
      <w:r w:rsidR="00C66BA8">
        <w:rPr>
          <w:rFonts w:ascii="Times New Roman" w:hAnsi="Times New Roman" w:cs="Times New Roman"/>
          <w:sz w:val="24"/>
          <w:lang w:val="fr-FR"/>
        </w:rPr>
        <w:t>oit être accordée au caractère C</w:t>
      </w:r>
      <w:r w:rsidRPr="00C7713E">
        <w:rPr>
          <w:rFonts w:ascii="Times New Roman" w:hAnsi="Times New Roman" w:cs="Times New Roman"/>
          <w:sz w:val="24"/>
          <w:lang w:val="fr-FR"/>
        </w:rPr>
        <w:t xml:space="preserve">hrétien et </w:t>
      </w:r>
      <w:r w:rsidR="00C66BA8">
        <w:rPr>
          <w:rFonts w:ascii="Times New Roman" w:hAnsi="Times New Roman" w:cs="Times New Roman"/>
          <w:sz w:val="24"/>
          <w:lang w:val="fr-FR"/>
        </w:rPr>
        <w:t>à l’expérience professionnelle C</w:t>
      </w:r>
      <w:r w:rsidRPr="00C7713E">
        <w:rPr>
          <w:rFonts w:ascii="Times New Roman" w:hAnsi="Times New Roman" w:cs="Times New Roman"/>
          <w:sz w:val="24"/>
          <w:lang w:val="fr-FR"/>
        </w:rPr>
        <w:t>hrétienne des candidats, en plus de leurs qualificat</w:t>
      </w:r>
      <w:r w:rsidR="00C66BA8">
        <w:rPr>
          <w:rFonts w:ascii="Times New Roman" w:hAnsi="Times New Roman" w:cs="Times New Roman"/>
          <w:sz w:val="24"/>
          <w:lang w:val="fr-FR"/>
        </w:rPr>
        <w:t>ions académiques. Le caractère C</w:t>
      </w:r>
      <w:r w:rsidRPr="00C7713E">
        <w:rPr>
          <w:rFonts w:ascii="Times New Roman" w:hAnsi="Times New Roman" w:cs="Times New Roman"/>
          <w:sz w:val="24"/>
          <w:lang w:val="fr-FR"/>
        </w:rPr>
        <w:t>hrétien et l’expérience professionnelle devraient être évalués en étroite consultation avec l’église dont le candidat est membre. L’</w:t>
      </w:r>
      <w:r w:rsidR="007A7335">
        <w:rPr>
          <w:rFonts w:ascii="Times New Roman" w:hAnsi="Times New Roman" w:cs="Times New Roman"/>
          <w:sz w:val="24"/>
          <w:lang w:val="fr-FR"/>
        </w:rPr>
        <w:t>institution</w:t>
      </w:r>
      <w:r w:rsidR="007A7335"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devrait avoir des politiques, des principes et des procédures clairs pour évaluer les acquis et placer les étudiants dans leurs programmes d’études</w:t>
      </w:r>
      <w:r w:rsidR="00B62341" w:rsidRPr="00C7713E">
        <w:rPr>
          <w:rFonts w:ascii="Times New Roman" w:hAnsi="Times New Roman" w:cs="Times New Roman"/>
          <w:sz w:val="24"/>
          <w:lang w:val="fr-FR"/>
        </w:rPr>
        <w:t>.</w:t>
      </w:r>
      <w:r w:rsidR="00AE0C82"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 xml:space="preserve">Les admissions </w:t>
      </w:r>
      <w:r w:rsidR="007A7335">
        <w:rPr>
          <w:rFonts w:ascii="Times New Roman" w:hAnsi="Times New Roman" w:cs="Times New Roman"/>
          <w:sz w:val="24"/>
          <w:lang w:val="fr-FR"/>
        </w:rPr>
        <w:t>matures, c.-à-d. des ouvriers C</w:t>
      </w:r>
      <w:r w:rsidRPr="00C7713E">
        <w:rPr>
          <w:rFonts w:ascii="Times New Roman" w:hAnsi="Times New Roman" w:cs="Times New Roman"/>
          <w:sz w:val="24"/>
          <w:lang w:val="fr-FR"/>
        </w:rPr>
        <w:t xml:space="preserve">hrétiens chevronnés qui n’ont pas la qualification académique d’entrée complète, peuvent être admis à des programmes appropriés conformément à la politique institutionnelle, mais pas plus de 10% des admissions annuelles totales dans le programme </w:t>
      </w:r>
      <w:r w:rsidR="007A7335" w:rsidRPr="007A7335">
        <w:rPr>
          <w:rFonts w:ascii="Times New Roman" w:hAnsi="Times New Roman" w:cs="Times New Roman"/>
          <w:i/>
          <w:sz w:val="24"/>
          <w:lang w:val="fr-FR"/>
        </w:rPr>
        <w:t>POADE</w:t>
      </w:r>
      <w:r w:rsidRPr="007A7335">
        <w:rPr>
          <w:rFonts w:ascii="Times New Roman" w:hAnsi="Times New Roman" w:cs="Times New Roman"/>
          <w:i/>
          <w:sz w:val="24"/>
          <w:lang w:val="fr-FR"/>
        </w:rPr>
        <w:t xml:space="preserve"> </w:t>
      </w:r>
      <w:r w:rsidRPr="00C7713E">
        <w:rPr>
          <w:rFonts w:ascii="Times New Roman" w:hAnsi="Times New Roman" w:cs="Times New Roman"/>
          <w:sz w:val="24"/>
          <w:lang w:val="fr-FR"/>
        </w:rPr>
        <w:t xml:space="preserve">respectif. Au niveau postsecondaire, les étudiants qui passent d’un programme d’enseignement théologique à un programme supérieur peuvent transférer certains crédits </w:t>
      </w:r>
      <w:r w:rsidRPr="00C7713E">
        <w:rPr>
          <w:rFonts w:ascii="Times New Roman" w:hAnsi="Times New Roman" w:cs="Times New Roman"/>
          <w:sz w:val="24"/>
          <w:lang w:val="fr-FR"/>
        </w:rPr>
        <w:lastRenderedPageBreak/>
        <w:t>acquis dans l’ancien programme comme équivalents aux crédits requis pour le programme supérieur, à condition que les conditions d’admission à l’enseignement de l’ancien programme soient équivalentes et que la rigueur de l’enseignement, y compris les exigences de cours, soit également équivalente dans les deux programmes</w:t>
      </w:r>
      <w:r w:rsidR="00AE0C82" w:rsidRPr="00C7713E">
        <w:rPr>
          <w:rFonts w:ascii="Times New Roman" w:hAnsi="Times New Roman" w:cs="Times New Roman"/>
          <w:sz w:val="24"/>
          <w:lang w:val="fr-FR"/>
        </w:rPr>
        <w:t xml:space="preserve">.  </w:t>
      </w:r>
      <w:r w:rsidRPr="00C7713E">
        <w:rPr>
          <w:rFonts w:ascii="Times New Roman" w:hAnsi="Times New Roman" w:cs="Times New Roman"/>
          <w:sz w:val="24"/>
          <w:lang w:val="fr-FR"/>
        </w:rPr>
        <w:t>La priorité d’admission aux programmes d’enseignement théologique doit être donnée aux étudiants qui ont terminé leurs études secondaires dans un établissement gouvernemental reconnu ou dans un établissement agréé par l’A</w:t>
      </w:r>
      <w:r w:rsidR="007A7335">
        <w:rPr>
          <w:rFonts w:ascii="Times New Roman" w:hAnsi="Times New Roman" w:cs="Times New Roman"/>
          <w:sz w:val="24"/>
          <w:lang w:val="fr-FR"/>
        </w:rPr>
        <w:t>ETCA</w:t>
      </w:r>
      <w:r w:rsidRPr="00C7713E">
        <w:rPr>
          <w:rFonts w:ascii="Times New Roman" w:hAnsi="Times New Roman" w:cs="Times New Roman"/>
          <w:sz w:val="24"/>
          <w:lang w:val="fr-FR"/>
        </w:rPr>
        <w:t xml:space="preserve"> ou une agence similaire.</w:t>
      </w:r>
    </w:p>
    <w:p w14:paraId="3232905F" w14:textId="72FE3869" w:rsidR="000D630F" w:rsidRPr="00C7713E" w:rsidRDefault="00344598"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4k. </w:t>
      </w:r>
      <w:r w:rsidRPr="00A40B71">
        <w:rPr>
          <w:rFonts w:ascii="Times New Roman" w:hAnsi="Times New Roman" w:cs="Times New Roman"/>
          <w:i/>
          <w:sz w:val="24"/>
          <w:lang w:val="fr-FR"/>
        </w:rPr>
        <w:t>Graduation</w:t>
      </w:r>
      <w:r w:rsidRPr="00C7713E">
        <w:rPr>
          <w:rFonts w:ascii="Times New Roman" w:hAnsi="Times New Roman" w:cs="Times New Roman"/>
          <w:sz w:val="24"/>
          <w:lang w:val="fr-FR"/>
        </w:rPr>
        <w:t xml:space="preserve">. Les programmes </w:t>
      </w:r>
      <w:r w:rsidR="007A7335" w:rsidRPr="007A7335">
        <w:rPr>
          <w:rFonts w:ascii="Times New Roman" w:hAnsi="Times New Roman" w:cs="Times New Roman"/>
          <w:i/>
          <w:sz w:val="24"/>
          <w:lang w:val="fr-FR"/>
        </w:rPr>
        <w:t>POAD</w:t>
      </w:r>
      <w:r w:rsidR="007A7335">
        <w:rPr>
          <w:rFonts w:ascii="Times New Roman" w:hAnsi="Times New Roman" w:cs="Times New Roman"/>
          <w:i/>
          <w:sz w:val="24"/>
          <w:lang w:val="fr-FR"/>
        </w:rPr>
        <w:t>E</w:t>
      </w:r>
      <w:r w:rsidRPr="00C7713E">
        <w:rPr>
          <w:rFonts w:ascii="Times New Roman" w:hAnsi="Times New Roman" w:cs="Times New Roman"/>
          <w:sz w:val="24"/>
          <w:lang w:val="fr-FR"/>
        </w:rPr>
        <w:t xml:space="preserve"> doivent montrer que la prise en compte du développement spirituel et professionnel ainsi que du développement académique de l’étudiant fait partie intégrante des procédures d’évaluation qui déterminent l’aptitude de l’étudiant à l’obtention du diplôme. Les exigences d’obtention du diplôme doivent inclure un rendement satisfaisant dans l’équivalent d’un cours à temps plein</w:t>
      </w:r>
      <w:r w:rsidR="000733E0" w:rsidRPr="00C7713E">
        <w:rPr>
          <w:rFonts w:ascii="Times New Roman" w:hAnsi="Times New Roman" w:cs="Times New Roman"/>
          <w:sz w:val="24"/>
          <w:lang w:val="fr-FR"/>
        </w:rPr>
        <w:t>.</w:t>
      </w:r>
      <w:r w:rsidR="002E63C4" w:rsidRPr="00C7713E">
        <w:rPr>
          <w:rFonts w:ascii="Times New Roman" w:hAnsi="Times New Roman" w:cs="Times New Roman"/>
          <w:sz w:val="24"/>
          <w:lang w:val="fr-FR"/>
        </w:rPr>
        <w:t xml:space="preserve"> </w:t>
      </w:r>
    </w:p>
    <w:p w14:paraId="0A1EAD5D" w14:textId="74E69FCE" w:rsidR="00142C29" w:rsidRPr="00C7713E" w:rsidRDefault="00344598" w:rsidP="00344598">
      <w:pPr>
        <w:rPr>
          <w:rFonts w:ascii="Times New Roman" w:hAnsi="Times New Roman" w:cs="Times New Roman"/>
          <w:sz w:val="24"/>
          <w:lang w:val="fr-FR"/>
        </w:rPr>
      </w:pPr>
      <w:r w:rsidRPr="00C7713E">
        <w:rPr>
          <w:rFonts w:ascii="Times New Roman" w:hAnsi="Times New Roman" w:cs="Times New Roman"/>
          <w:sz w:val="24"/>
          <w:lang w:val="fr-FR"/>
        </w:rPr>
        <w:t xml:space="preserve">Pour les programmes postsecondaires, les exigences d’obtention du diplôme doivent inclure un rendement satisfaisant dans un cours de 3 ou 4 ans pour le diplôme et un cours de 2, 3 ou 4 ans au niveau postsecondaire pour le diplôme d’études postsecondaires. Les programmes </w:t>
      </w:r>
      <w:r w:rsidR="007A7335" w:rsidRPr="007A7335">
        <w:rPr>
          <w:rFonts w:ascii="Times New Roman" w:hAnsi="Times New Roman" w:cs="Times New Roman"/>
          <w:i/>
          <w:sz w:val="24"/>
          <w:lang w:val="fr-FR"/>
        </w:rPr>
        <w:t>POADE</w:t>
      </w:r>
      <w:r w:rsidRPr="00C7713E">
        <w:rPr>
          <w:rFonts w:ascii="Times New Roman" w:hAnsi="Times New Roman" w:cs="Times New Roman"/>
          <w:sz w:val="24"/>
          <w:lang w:val="fr-FR"/>
        </w:rPr>
        <w:t xml:space="preserve"> doivent avoir un calendrier d’apprentissage qui obligera les étudiants à passer de 1200 à 1800 heures d’activités d’apprentissage structurées dans chaque année d’études pour la durée de leurs programmes. La répartition des heures d’apprentissage entre les diverses activités d’apprentissage doit être adaptée à la méthode d’enseignement utilisée</w:t>
      </w:r>
      <w:r w:rsidR="00142C29" w:rsidRPr="00C7713E">
        <w:rPr>
          <w:rFonts w:ascii="Times New Roman" w:hAnsi="Times New Roman" w:cs="Times New Roman"/>
          <w:sz w:val="24"/>
          <w:lang w:val="fr-FR"/>
        </w:rPr>
        <w:t>.</w:t>
      </w:r>
    </w:p>
    <w:p w14:paraId="310753D3" w14:textId="519BFA77" w:rsidR="002E63C4" w:rsidRPr="00C7713E" w:rsidRDefault="00344598" w:rsidP="00344598">
      <w:pPr>
        <w:rPr>
          <w:rFonts w:ascii="Times New Roman" w:hAnsi="Times New Roman" w:cs="Times New Roman"/>
          <w:sz w:val="24"/>
          <w:lang w:val="fr-FR"/>
        </w:rPr>
      </w:pPr>
      <w:r w:rsidRPr="00C7713E">
        <w:rPr>
          <w:rFonts w:ascii="Times New Roman" w:hAnsi="Times New Roman" w:cs="Times New Roman"/>
          <w:sz w:val="24"/>
          <w:lang w:val="fr-FR"/>
        </w:rPr>
        <w:t>Si les conditions d’admission en vigueur pour le programme d’études postsecondaires se rapportent à un cours universitaire de quatre ans, alors le programme d’études doit lui-même être un cours de quatre ans. Les publications et titres de compétence relatifs à un programme d’études postsecondaires accrédité doivent toujours préciser s’il s’agit d’un programme de 2, 3 ou 4 ans. L’A</w:t>
      </w:r>
      <w:r w:rsidR="007A7335">
        <w:rPr>
          <w:rFonts w:ascii="Times New Roman" w:hAnsi="Times New Roman" w:cs="Times New Roman"/>
          <w:sz w:val="24"/>
          <w:lang w:val="fr-FR"/>
        </w:rPr>
        <w:t>ETCA</w:t>
      </w:r>
      <w:r w:rsidRPr="00C7713E">
        <w:rPr>
          <w:rFonts w:ascii="Times New Roman" w:hAnsi="Times New Roman" w:cs="Times New Roman"/>
          <w:sz w:val="24"/>
          <w:lang w:val="fr-FR"/>
        </w:rPr>
        <w:t xml:space="preserve"> encourage les </w:t>
      </w:r>
      <w:r w:rsidR="007A7335">
        <w:rPr>
          <w:rFonts w:ascii="Times New Roman" w:hAnsi="Times New Roman" w:cs="Times New Roman"/>
          <w:sz w:val="24"/>
          <w:lang w:val="fr-FR"/>
        </w:rPr>
        <w:t>institutions</w:t>
      </w:r>
      <w:r w:rsidRPr="00C7713E">
        <w:rPr>
          <w:rFonts w:ascii="Times New Roman" w:hAnsi="Times New Roman" w:cs="Times New Roman"/>
          <w:sz w:val="24"/>
          <w:lang w:val="fr-FR"/>
        </w:rPr>
        <w:t xml:space="preserve"> à adapter les noms de leurs titres de compétences théologiques terminaux au niveau postsecondaire aux tendances observées dans ce pays ou cette région</w:t>
      </w:r>
      <w:r w:rsidR="002E63C4" w:rsidRPr="00C7713E">
        <w:rPr>
          <w:rFonts w:ascii="Times New Roman" w:hAnsi="Times New Roman" w:cs="Times New Roman"/>
          <w:sz w:val="24"/>
          <w:lang w:val="fr-FR"/>
        </w:rPr>
        <w:t>.</w:t>
      </w:r>
    </w:p>
    <w:p w14:paraId="3EF20AAC" w14:textId="67E48D5B" w:rsidR="0076456F" w:rsidRPr="00C7713E" w:rsidRDefault="00344598" w:rsidP="00344598">
      <w:pPr>
        <w:rPr>
          <w:rFonts w:ascii="Times New Roman" w:hAnsi="Times New Roman" w:cs="Times New Roman"/>
          <w:sz w:val="24"/>
          <w:lang w:val="fr-FR"/>
        </w:rPr>
      </w:pPr>
      <w:r w:rsidRPr="00C7713E">
        <w:rPr>
          <w:rFonts w:ascii="Times New Roman" w:hAnsi="Times New Roman" w:cs="Times New Roman"/>
          <w:sz w:val="24"/>
          <w:lang w:val="fr-FR"/>
        </w:rPr>
        <w:t>Les programmes d’études supérieures basés sur les cours doivent se réunir pour un équivalent de 34-36 semaines par an, avec une moyenne de 12,5 heures ou son équivalent par semaine en classe ou étude supervisée et une charge de travail totale normale de 40-45 heures d’activité d’apprentissage par semaine (c.-à-d. 1200 à 1800 heures d’activités d’apprentissage structurées par année, y compris 425 à 450 heures-horloge d’enseignement ou d’études supervisées), ou l’équivalent en études à temps partiel, en ligne, modulaires ou à distance. Les programmes de théologie postdoctorale basés sur la recherche doivent également intégrer de 1200 à 1800 heures de recherche, d’écriture et d’autres activités d’apprentissage structurées par an, ou l’équivalent dans les études à temps partiel sur un plus grand nombre d’années</w:t>
      </w:r>
      <w:r w:rsidR="00604BC0" w:rsidRPr="00C7713E">
        <w:rPr>
          <w:rFonts w:ascii="Times New Roman" w:hAnsi="Times New Roman" w:cs="Times New Roman"/>
          <w:sz w:val="24"/>
          <w:lang w:val="fr-FR"/>
        </w:rPr>
        <w:t xml:space="preserve">. </w:t>
      </w:r>
    </w:p>
    <w:p w14:paraId="2616F5D3" w14:textId="6493D903" w:rsidR="006624BD" w:rsidRPr="00C7713E" w:rsidRDefault="00344598" w:rsidP="00344598">
      <w:pPr>
        <w:rPr>
          <w:rFonts w:ascii="Times New Roman" w:hAnsi="Times New Roman" w:cs="Times New Roman"/>
          <w:sz w:val="24"/>
          <w:lang w:val="fr-FR"/>
        </w:rPr>
      </w:pPr>
      <w:r w:rsidRPr="00C7713E">
        <w:rPr>
          <w:rFonts w:ascii="Times New Roman" w:hAnsi="Times New Roman" w:cs="Times New Roman"/>
          <w:sz w:val="24"/>
          <w:lang w:val="fr-FR"/>
        </w:rPr>
        <w:t xml:space="preserve">Nomenclature attribuée aux programmes </w:t>
      </w:r>
      <w:r w:rsidR="007A7335" w:rsidRPr="00C7713E">
        <w:rPr>
          <w:rFonts w:ascii="Times New Roman" w:hAnsi="Times New Roman" w:cs="Times New Roman"/>
          <w:sz w:val="24"/>
          <w:lang w:val="fr-FR"/>
        </w:rPr>
        <w:t>postdoctoraux</w:t>
      </w:r>
      <w:r w:rsidR="007A7335">
        <w:rPr>
          <w:rFonts w:ascii="Times New Roman" w:hAnsi="Times New Roman" w:cs="Times New Roman"/>
          <w:sz w:val="24"/>
          <w:lang w:val="fr-FR"/>
        </w:rPr>
        <w:t xml:space="preserve"> </w:t>
      </w:r>
      <w:r w:rsidR="007A7335" w:rsidRPr="007A7335">
        <w:rPr>
          <w:rFonts w:ascii="Times New Roman" w:hAnsi="Times New Roman" w:cs="Times New Roman"/>
          <w:i/>
          <w:sz w:val="24"/>
          <w:lang w:val="fr-FR"/>
        </w:rPr>
        <w:t>POADE</w:t>
      </w:r>
      <w:r w:rsidRPr="00C7713E">
        <w:rPr>
          <w:rFonts w:ascii="Times New Roman" w:hAnsi="Times New Roman" w:cs="Times New Roman"/>
          <w:sz w:val="24"/>
          <w:lang w:val="fr-FR"/>
        </w:rPr>
        <w:t xml:space="preserve"> et aux durées correspondantes</w:t>
      </w:r>
      <w:r w:rsidR="007A7335">
        <w:rPr>
          <w:rFonts w:ascii="Times New Roman" w:hAnsi="Times New Roman" w:cs="Times New Roman"/>
          <w:sz w:val="24"/>
          <w:lang w:val="fr-FR"/>
        </w:rPr>
        <w:t xml:space="preserve">. </w:t>
      </w:r>
      <w:r w:rsidRPr="00C7713E">
        <w:rPr>
          <w:rFonts w:ascii="Times New Roman" w:hAnsi="Times New Roman" w:cs="Times New Roman"/>
          <w:sz w:val="24"/>
          <w:lang w:val="fr-FR"/>
        </w:rPr>
        <w:t xml:space="preserve">Les programmes d’études supérieures doivent correspondre aux modèles académiques régionaux et internationaux en tenant dûment compte des durées équivalentes des programmes dans les formats </w:t>
      </w:r>
      <w:r w:rsidR="007A7335" w:rsidRPr="00AB4998">
        <w:rPr>
          <w:rFonts w:ascii="Times New Roman" w:hAnsi="Times New Roman" w:cs="Times New Roman"/>
          <w:i/>
          <w:sz w:val="24"/>
          <w:lang w:val="fr-FR"/>
        </w:rPr>
        <w:t>POADE</w:t>
      </w:r>
      <w:r w:rsidRPr="00C7713E">
        <w:rPr>
          <w:rFonts w:ascii="Times New Roman" w:hAnsi="Times New Roman" w:cs="Times New Roman"/>
          <w:sz w:val="24"/>
          <w:lang w:val="fr-FR"/>
        </w:rPr>
        <w:t xml:space="preserve"> et compte tenu du niveau avancé fondé sur les travaux pertinents, le cas échéant.</w:t>
      </w:r>
      <w:r w:rsidR="006624BD" w:rsidRPr="00C7713E">
        <w:rPr>
          <w:rFonts w:ascii="Times New Roman" w:hAnsi="Times New Roman" w:cs="Times New Roman"/>
          <w:sz w:val="24"/>
          <w:lang w:val="fr-FR"/>
        </w:rPr>
        <w:t xml:space="preserve"> </w:t>
      </w:r>
    </w:p>
    <w:p w14:paraId="3EBDB318" w14:textId="7D0AECCB" w:rsidR="00E8178A" w:rsidRPr="00C7713E" w:rsidRDefault="00344598" w:rsidP="00344598">
      <w:pPr>
        <w:rPr>
          <w:rFonts w:ascii="Times New Roman" w:hAnsi="Times New Roman" w:cs="Times New Roman"/>
          <w:sz w:val="24"/>
          <w:lang w:val="fr-FR"/>
        </w:rPr>
      </w:pPr>
      <w:r w:rsidRPr="00C7713E">
        <w:rPr>
          <w:rFonts w:ascii="Times New Roman" w:hAnsi="Times New Roman" w:cs="Times New Roman"/>
          <w:sz w:val="24"/>
          <w:lang w:val="fr-FR"/>
        </w:rPr>
        <w:t xml:space="preserve">Les programmes de théologie de troisième cycle dans lesquels les examens finaux ou la soumission d’une thèse ou d’un projet, plutôt que des années d’études ou l’accumulation de </w:t>
      </w:r>
      <w:r w:rsidRPr="00C7713E">
        <w:rPr>
          <w:rFonts w:ascii="Times New Roman" w:hAnsi="Times New Roman" w:cs="Times New Roman"/>
          <w:sz w:val="24"/>
          <w:lang w:val="fr-FR"/>
        </w:rPr>
        <w:lastRenderedPageBreak/>
        <w:t>crédits de cours, détermine l’achèvement du programme doit avoir en place un système de modération externe des examens et/ou d’examen des thèses ou des projets équivalent à celui du système universitaire national du pays d’accueil et acceptable pour l’A</w:t>
      </w:r>
      <w:r w:rsidR="00AB4998">
        <w:rPr>
          <w:rFonts w:ascii="Times New Roman" w:hAnsi="Times New Roman" w:cs="Times New Roman"/>
          <w:sz w:val="24"/>
          <w:lang w:val="fr-FR"/>
        </w:rPr>
        <w:t>ETC</w:t>
      </w:r>
      <w:r w:rsidRPr="00C7713E">
        <w:rPr>
          <w:rFonts w:ascii="Times New Roman" w:hAnsi="Times New Roman" w:cs="Times New Roman"/>
          <w:sz w:val="24"/>
          <w:lang w:val="fr-FR"/>
        </w:rPr>
        <w:t>A.</w:t>
      </w:r>
      <w:r w:rsidRPr="00C7713E">
        <w:rPr>
          <w:rFonts w:ascii="Times New Roman" w:hAnsi="Times New Roman" w:cs="Times New Roman"/>
          <w:sz w:val="24"/>
          <w:lang w:val="fr-FR"/>
        </w:rPr>
        <w:br/>
        <w:t>Les établissements qui offrent des programmes distincts d’enseignement postsecondaire et d’études supérieures en théologie ne peuvent pas enseigner aux étudiants des deux niveaux de la même classe tout en accordant des crédits à des niveaux différents</w:t>
      </w:r>
      <w:r w:rsidR="002C7A0B" w:rsidRPr="00C7713E">
        <w:rPr>
          <w:rFonts w:ascii="Times New Roman" w:hAnsi="Times New Roman" w:cs="Times New Roman"/>
          <w:sz w:val="24"/>
          <w:lang w:val="fr-FR"/>
        </w:rPr>
        <w:t xml:space="preserve">. </w:t>
      </w:r>
    </w:p>
    <w:p w14:paraId="19E101DD" w14:textId="77777777" w:rsidR="00AB4998" w:rsidRDefault="00344598"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4l. </w:t>
      </w:r>
      <w:r w:rsidRPr="00A40B71">
        <w:rPr>
          <w:rFonts w:ascii="Times New Roman" w:hAnsi="Times New Roman" w:cs="Times New Roman"/>
          <w:i/>
          <w:sz w:val="24"/>
          <w:lang w:val="fr-FR"/>
        </w:rPr>
        <w:t>Cérémonies de remise des diplômes</w:t>
      </w:r>
      <w:r w:rsidRPr="00C7713E">
        <w:rPr>
          <w:rFonts w:ascii="Times New Roman" w:hAnsi="Times New Roman" w:cs="Times New Roman"/>
          <w:sz w:val="24"/>
          <w:lang w:val="fr-FR"/>
        </w:rPr>
        <w:t>. L’</w:t>
      </w:r>
      <w:r w:rsidR="00AB4998">
        <w:rPr>
          <w:rFonts w:ascii="Times New Roman" w:hAnsi="Times New Roman" w:cs="Times New Roman"/>
          <w:sz w:val="24"/>
          <w:lang w:val="fr-FR"/>
        </w:rPr>
        <w:t>institution</w:t>
      </w:r>
      <w:r w:rsidRPr="00C7713E">
        <w:rPr>
          <w:rFonts w:ascii="Times New Roman" w:hAnsi="Times New Roman" w:cs="Times New Roman"/>
          <w:sz w:val="24"/>
          <w:lang w:val="fr-FR"/>
        </w:rPr>
        <w:t xml:space="preserve"> doit avoir des dispositions pour les cérémonies de remise des diplômes convenant aux étudiants </w:t>
      </w:r>
      <w:r w:rsidR="00AB4998" w:rsidRPr="00AB4998">
        <w:rPr>
          <w:rFonts w:ascii="Times New Roman" w:hAnsi="Times New Roman" w:cs="Times New Roman"/>
          <w:i/>
          <w:sz w:val="24"/>
          <w:lang w:val="fr-FR"/>
        </w:rPr>
        <w:t>POADE</w:t>
      </w:r>
      <w:r w:rsidRPr="00C7713E">
        <w:rPr>
          <w:rFonts w:ascii="Times New Roman" w:hAnsi="Times New Roman" w:cs="Times New Roman"/>
          <w:sz w:val="24"/>
          <w:lang w:val="fr-FR"/>
        </w:rPr>
        <w:t>. L’</w:t>
      </w:r>
      <w:r w:rsidR="00AB4998">
        <w:rPr>
          <w:rFonts w:ascii="Times New Roman" w:hAnsi="Times New Roman" w:cs="Times New Roman"/>
          <w:sz w:val="24"/>
          <w:lang w:val="fr-FR"/>
        </w:rPr>
        <w:t>institution</w:t>
      </w:r>
      <w:r w:rsidRPr="00C7713E">
        <w:rPr>
          <w:rFonts w:ascii="Times New Roman" w:hAnsi="Times New Roman" w:cs="Times New Roman"/>
          <w:sz w:val="24"/>
          <w:lang w:val="fr-FR"/>
        </w:rPr>
        <w:t xml:space="preserve"> doit planifier la livraison sécuritaire des documents d’attestation et des relevés de notes.</w:t>
      </w:r>
    </w:p>
    <w:p w14:paraId="456EA861" w14:textId="482091B4" w:rsidR="008A2CD2" w:rsidRPr="00C7713E" w:rsidRDefault="00344598" w:rsidP="00AB4998">
      <w:pPr>
        <w:ind w:left="720"/>
        <w:rPr>
          <w:rFonts w:ascii="Times New Roman" w:hAnsi="Times New Roman" w:cs="Times New Roman"/>
          <w:sz w:val="24"/>
          <w:lang w:val="fr-FR"/>
        </w:rPr>
      </w:pPr>
      <w:r w:rsidRPr="00C7713E">
        <w:rPr>
          <w:rFonts w:ascii="Times New Roman" w:hAnsi="Times New Roman" w:cs="Times New Roman"/>
          <w:sz w:val="24"/>
          <w:lang w:val="fr-FR"/>
        </w:rPr>
        <w:t xml:space="preserve">4m. </w:t>
      </w:r>
      <w:r w:rsidRPr="00AB4998">
        <w:rPr>
          <w:rFonts w:ascii="Times New Roman" w:hAnsi="Times New Roman" w:cs="Times New Roman"/>
          <w:i/>
          <w:sz w:val="24"/>
          <w:lang w:val="fr-FR"/>
        </w:rPr>
        <w:t>Langue</w:t>
      </w:r>
      <w:r w:rsidRPr="00C7713E">
        <w:rPr>
          <w:rFonts w:ascii="Times New Roman" w:hAnsi="Times New Roman" w:cs="Times New Roman"/>
          <w:sz w:val="24"/>
          <w:lang w:val="fr-FR"/>
        </w:rPr>
        <w:t xml:space="preserve">. La langue d’enseignement pour les programmes </w:t>
      </w:r>
      <w:r w:rsidR="00AB4998" w:rsidRPr="00AB4998">
        <w:rPr>
          <w:rFonts w:ascii="Times New Roman" w:hAnsi="Times New Roman" w:cs="Times New Roman"/>
          <w:i/>
          <w:sz w:val="24"/>
          <w:lang w:val="fr-FR"/>
        </w:rPr>
        <w:t>POADE</w:t>
      </w:r>
      <w:r w:rsidRPr="00C7713E">
        <w:rPr>
          <w:rFonts w:ascii="Times New Roman" w:hAnsi="Times New Roman" w:cs="Times New Roman"/>
          <w:sz w:val="24"/>
          <w:lang w:val="fr-FR"/>
        </w:rPr>
        <w:t xml:space="preserve"> accrédités doit être celle utilisée dans le système national local au même niveau</w:t>
      </w:r>
      <w:r w:rsidR="008A2CD2" w:rsidRPr="00C7713E">
        <w:rPr>
          <w:rFonts w:ascii="Times New Roman" w:hAnsi="Times New Roman" w:cs="Times New Roman"/>
          <w:sz w:val="24"/>
          <w:lang w:val="fr-FR"/>
        </w:rPr>
        <w:t xml:space="preserve">.  </w:t>
      </w:r>
    </w:p>
    <w:p w14:paraId="37425B41" w14:textId="07B395E6" w:rsidR="0093535F" w:rsidRPr="00C7713E" w:rsidRDefault="0093535F" w:rsidP="00B93567">
      <w:pPr>
        <w:pStyle w:val="PlainText"/>
        <w:jc w:val="both"/>
        <w:rPr>
          <w:rFonts w:ascii="Cambria" w:hAnsi="Cambria" w:cs="Times New Roman"/>
          <w:bCs/>
          <w:iCs/>
          <w:sz w:val="24"/>
          <w:lang w:val="fr-FR"/>
        </w:rPr>
      </w:pPr>
    </w:p>
    <w:p w14:paraId="3631ADD4" w14:textId="085E0BE6" w:rsidR="00280334" w:rsidRPr="00C7713E" w:rsidRDefault="0093535F" w:rsidP="008660E9">
      <w:pPr>
        <w:pStyle w:val="Heading2"/>
        <w:rPr>
          <w:b/>
          <w:bCs/>
          <w:color w:val="C45911" w:themeColor="accent2" w:themeShade="BF"/>
          <w:lang w:val="fr-FR"/>
        </w:rPr>
      </w:pPr>
      <w:bookmarkStart w:id="10" w:name="_Toc57626050"/>
      <w:r w:rsidRPr="00C7713E">
        <w:rPr>
          <w:b/>
          <w:bCs/>
          <w:color w:val="C45911" w:themeColor="accent2" w:themeShade="BF"/>
          <w:lang w:val="fr-FR"/>
        </w:rPr>
        <w:t xml:space="preserve">SECTION 5: </w:t>
      </w:r>
      <w:r w:rsidR="00344598" w:rsidRPr="00C7713E">
        <w:rPr>
          <w:b/>
          <w:bCs/>
          <w:color w:val="C45911" w:themeColor="accent2" w:themeShade="BF"/>
          <w:lang w:val="fr-FR"/>
        </w:rPr>
        <w:t>LE</w:t>
      </w:r>
      <w:r w:rsidRPr="00C7713E">
        <w:rPr>
          <w:b/>
          <w:bCs/>
          <w:color w:val="C45911" w:themeColor="accent2" w:themeShade="BF"/>
          <w:lang w:val="fr-FR"/>
        </w:rPr>
        <w:t>S</w:t>
      </w:r>
      <w:bookmarkEnd w:id="10"/>
      <w:r w:rsidR="00344598" w:rsidRPr="00C7713E">
        <w:rPr>
          <w:b/>
          <w:bCs/>
          <w:color w:val="C45911" w:themeColor="accent2" w:themeShade="BF"/>
          <w:lang w:val="fr-FR"/>
        </w:rPr>
        <w:t xml:space="preserve"> ETUDIANTS</w:t>
      </w:r>
    </w:p>
    <w:p w14:paraId="6D555471" w14:textId="62057A53" w:rsidR="0076456F" w:rsidRPr="00C7713E" w:rsidRDefault="00344598"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5a. </w:t>
      </w:r>
      <w:r w:rsidRPr="00A40B71">
        <w:rPr>
          <w:rFonts w:ascii="Times New Roman" w:hAnsi="Times New Roman" w:cs="Times New Roman"/>
          <w:i/>
          <w:sz w:val="24"/>
          <w:lang w:val="fr-FR"/>
        </w:rPr>
        <w:t>Counseling</w:t>
      </w:r>
      <w:r w:rsidRPr="00C7713E">
        <w:rPr>
          <w:rFonts w:ascii="Times New Roman" w:hAnsi="Times New Roman" w:cs="Times New Roman"/>
          <w:sz w:val="24"/>
          <w:lang w:val="fr-FR"/>
        </w:rPr>
        <w:t>. L’</w:t>
      </w:r>
      <w:r w:rsidR="00AB4998">
        <w:rPr>
          <w:rFonts w:ascii="Times New Roman" w:hAnsi="Times New Roman" w:cs="Times New Roman"/>
          <w:sz w:val="24"/>
          <w:lang w:val="fr-FR"/>
        </w:rPr>
        <w:t>institut</w:t>
      </w:r>
      <w:r w:rsidRPr="00C7713E">
        <w:rPr>
          <w:rFonts w:ascii="Times New Roman" w:hAnsi="Times New Roman" w:cs="Times New Roman"/>
          <w:sz w:val="24"/>
          <w:lang w:val="fr-FR"/>
        </w:rPr>
        <w:t xml:space="preserve"> doit disposer d’un dispositif organisé permettant à tous les étudiants d’avoir un accès adéquat à des conseils </w:t>
      </w:r>
      <w:r w:rsidR="00AB4998">
        <w:rPr>
          <w:rFonts w:ascii="Times New Roman" w:hAnsi="Times New Roman" w:cs="Times New Roman"/>
          <w:sz w:val="24"/>
          <w:lang w:val="fr-FR"/>
        </w:rPr>
        <w:t>personnels, au</w:t>
      </w:r>
      <w:r w:rsidRPr="00C7713E">
        <w:rPr>
          <w:rFonts w:ascii="Times New Roman" w:hAnsi="Times New Roman" w:cs="Times New Roman"/>
          <w:sz w:val="24"/>
          <w:lang w:val="fr-FR"/>
        </w:rPr>
        <w:t xml:space="preserve"> mentorat, à des conseils </w:t>
      </w:r>
      <w:r w:rsidR="00AB4998">
        <w:rPr>
          <w:rFonts w:ascii="Times New Roman" w:hAnsi="Times New Roman" w:cs="Times New Roman"/>
          <w:sz w:val="24"/>
          <w:lang w:val="fr-FR"/>
        </w:rPr>
        <w:t>académiques</w:t>
      </w:r>
      <w:r w:rsidRPr="00C7713E">
        <w:rPr>
          <w:rFonts w:ascii="Times New Roman" w:hAnsi="Times New Roman" w:cs="Times New Roman"/>
          <w:sz w:val="24"/>
          <w:lang w:val="fr-FR"/>
        </w:rPr>
        <w:t xml:space="preserve"> et à des encouragements de la part du personnel ou de praticiens locaux désignés</w:t>
      </w:r>
      <w:r w:rsidR="00D515FA" w:rsidRPr="00C7713E">
        <w:rPr>
          <w:rFonts w:ascii="Times New Roman" w:hAnsi="Times New Roman" w:cs="Times New Roman"/>
          <w:sz w:val="24"/>
          <w:lang w:val="fr-FR"/>
        </w:rPr>
        <w:t xml:space="preserve">. </w:t>
      </w:r>
    </w:p>
    <w:p w14:paraId="69B1C64C" w14:textId="66A20033" w:rsidR="00C11D01" w:rsidRPr="00C7713E" w:rsidRDefault="00344598"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5b. </w:t>
      </w:r>
      <w:r w:rsidRPr="00A40B71">
        <w:rPr>
          <w:rFonts w:ascii="Times New Roman" w:hAnsi="Times New Roman" w:cs="Times New Roman"/>
          <w:i/>
          <w:sz w:val="24"/>
          <w:lang w:val="fr-FR"/>
        </w:rPr>
        <w:t>Discipline</w:t>
      </w:r>
      <w:r w:rsidRPr="00C7713E">
        <w:rPr>
          <w:rFonts w:ascii="Times New Roman" w:hAnsi="Times New Roman" w:cs="Times New Roman"/>
          <w:sz w:val="24"/>
          <w:lang w:val="fr-FR"/>
        </w:rPr>
        <w:t>. Dans tous les cas, des m</w:t>
      </w:r>
      <w:r w:rsidR="00AB4998">
        <w:rPr>
          <w:rFonts w:ascii="Times New Roman" w:hAnsi="Times New Roman" w:cs="Times New Roman"/>
          <w:sz w:val="24"/>
          <w:lang w:val="fr-FR"/>
        </w:rPr>
        <w:t>esures disciplinaires importante</w:t>
      </w:r>
      <w:r w:rsidRPr="00C7713E">
        <w:rPr>
          <w:rFonts w:ascii="Times New Roman" w:hAnsi="Times New Roman" w:cs="Times New Roman"/>
          <w:sz w:val="24"/>
          <w:lang w:val="fr-FR"/>
        </w:rPr>
        <w:t xml:space="preserve">s doivent être prises (i) conformément aux procédures écrites; (ii) en ce qui concerne les règlements écrits qui sont facilement accessibles aux étudiants sur support papier ou en ligne; (iii) sur la base de discussions et de décisions prises par un groupe plutôt que par une personne; avec des dossiers écrits sur les mesures prises. Dans la mesure du possible, ces mesures devraient également être prises en consultation avec le praticien </w:t>
      </w:r>
      <w:r w:rsidR="00AB4998">
        <w:rPr>
          <w:rFonts w:ascii="Times New Roman" w:hAnsi="Times New Roman" w:cs="Times New Roman"/>
          <w:sz w:val="24"/>
          <w:lang w:val="fr-FR"/>
        </w:rPr>
        <w:t xml:space="preserve">accompagnateur </w:t>
      </w:r>
      <w:r w:rsidRPr="00C7713E">
        <w:rPr>
          <w:rFonts w:ascii="Times New Roman" w:hAnsi="Times New Roman" w:cs="Times New Roman"/>
          <w:sz w:val="24"/>
          <w:lang w:val="fr-FR"/>
        </w:rPr>
        <w:t>local, l’église de l’étudiant ou l’organisme parrain.</w:t>
      </w:r>
      <w:r w:rsidR="002D79BC" w:rsidRPr="00C7713E">
        <w:rPr>
          <w:rFonts w:ascii="Times New Roman" w:hAnsi="Times New Roman" w:cs="Times New Roman"/>
          <w:sz w:val="24"/>
          <w:lang w:val="fr-FR"/>
        </w:rPr>
        <w:t xml:space="preserve"> </w:t>
      </w:r>
    </w:p>
    <w:p w14:paraId="10BE7C34" w14:textId="1AAE2012" w:rsidR="00C11D01" w:rsidRPr="00C7713E" w:rsidRDefault="00344598"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5c. </w:t>
      </w:r>
      <w:r w:rsidRPr="00A40B71">
        <w:rPr>
          <w:rFonts w:ascii="Times New Roman" w:hAnsi="Times New Roman" w:cs="Times New Roman"/>
          <w:i/>
          <w:sz w:val="24"/>
          <w:lang w:val="fr-FR"/>
        </w:rPr>
        <w:t>Vie communautaire</w:t>
      </w:r>
      <w:r w:rsidRPr="00C7713E">
        <w:rPr>
          <w:rFonts w:ascii="Times New Roman" w:hAnsi="Times New Roman" w:cs="Times New Roman"/>
          <w:sz w:val="24"/>
          <w:lang w:val="fr-FR"/>
        </w:rPr>
        <w:t>. </w:t>
      </w:r>
      <w:r w:rsidR="00AB4998" w:rsidRPr="00C7713E">
        <w:rPr>
          <w:rFonts w:ascii="Times New Roman" w:hAnsi="Times New Roman" w:cs="Times New Roman"/>
          <w:sz w:val="24"/>
          <w:lang w:val="fr-FR"/>
        </w:rPr>
        <w:t>L’</w:t>
      </w:r>
      <w:r w:rsidR="00AB4998" w:rsidRPr="00AB4998">
        <w:rPr>
          <w:rFonts w:ascii="Times New Roman" w:hAnsi="Times New Roman" w:cs="Times New Roman"/>
          <w:sz w:val="24"/>
          <w:lang w:val="fr-FR"/>
        </w:rPr>
        <w:t>institution</w:t>
      </w:r>
      <w:r w:rsidRPr="00C7713E">
        <w:rPr>
          <w:rFonts w:ascii="Times New Roman" w:hAnsi="Times New Roman" w:cs="Times New Roman"/>
          <w:sz w:val="24"/>
          <w:lang w:val="fr-FR"/>
        </w:rPr>
        <w:t xml:space="preserve"> doit favoriser la </w:t>
      </w:r>
      <w:r w:rsidR="00AB4998">
        <w:rPr>
          <w:rFonts w:ascii="Times New Roman" w:hAnsi="Times New Roman" w:cs="Times New Roman"/>
          <w:sz w:val="24"/>
          <w:lang w:val="fr-FR"/>
        </w:rPr>
        <w:t xml:space="preserve">vie de </w:t>
      </w:r>
      <w:r w:rsidRPr="00C7713E">
        <w:rPr>
          <w:rFonts w:ascii="Times New Roman" w:hAnsi="Times New Roman" w:cs="Times New Roman"/>
          <w:sz w:val="24"/>
          <w:lang w:val="fr-FR"/>
        </w:rPr>
        <w:t>communauté parmi les étudiants. Cela peut se faire par l’élaboration de cours qui nécessitent des interactions intentionnelles entre les étudiants et les professeurs. Pour les cours en ligne, l’animateur du corps professoral doit être activement engagé dans des interactions virtuelles avec les étudiants. L’</w:t>
      </w:r>
      <w:r w:rsidR="00AB4998">
        <w:rPr>
          <w:rFonts w:ascii="Times New Roman" w:hAnsi="Times New Roman" w:cs="Times New Roman"/>
          <w:sz w:val="24"/>
          <w:lang w:val="fr-FR"/>
        </w:rPr>
        <w:t>institution</w:t>
      </w:r>
      <w:r w:rsidRPr="00C7713E">
        <w:rPr>
          <w:rFonts w:ascii="Times New Roman" w:hAnsi="Times New Roman" w:cs="Times New Roman"/>
          <w:sz w:val="24"/>
          <w:lang w:val="fr-FR"/>
        </w:rPr>
        <w:t xml:space="preserve"> devrait également établir des liens entre les étudiants et les intervenants locaux, les églises, les conseillers </w:t>
      </w:r>
      <w:r w:rsidR="00AB4998">
        <w:rPr>
          <w:rFonts w:ascii="Times New Roman" w:hAnsi="Times New Roman" w:cs="Times New Roman"/>
          <w:sz w:val="24"/>
          <w:lang w:val="fr-FR"/>
        </w:rPr>
        <w:t>académiques</w:t>
      </w:r>
      <w:r w:rsidRPr="00C7713E">
        <w:rPr>
          <w:rFonts w:ascii="Times New Roman" w:hAnsi="Times New Roman" w:cs="Times New Roman"/>
          <w:sz w:val="24"/>
          <w:lang w:val="fr-FR"/>
        </w:rPr>
        <w:t xml:space="preserve"> et les mentors.</w:t>
      </w:r>
      <w:r w:rsidR="00BC06B2" w:rsidRPr="00C7713E">
        <w:rPr>
          <w:rFonts w:ascii="Times New Roman" w:hAnsi="Times New Roman" w:cs="Times New Roman"/>
          <w:sz w:val="24"/>
          <w:lang w:val="fr-FR"/>
        </w:rPr>
        <w:t xml:space="preserve"> </w:t>
      </w:r>
      <w:r w:rsidR="00383968" w:rsidRPr="00C7713E">
        <w:rPr>
          <w:rFonts w:ascii="Times New Roman" w:hAnsi="Times New Roman" w:cs="Times New Roman"/>
          <w:sz w:val="24"/>
          <w:lang w:val="fr-FR"/>
        </w:rPr>
        <w:t xml:space="preserve"> </w:t>
      </w:r>
    </w:p>
    <w:p w14:paraId="14953693" w14:textId="34014934" w:rsidR="00F8575C" w:rsidRPr="00C7713E" w:rsidRDefault="00344598" w:rsidP="003C7673">
      <w:pPr>
        <w:ind w:firstLine="720"/>
        <w:rPr>
          <w:rFonts w:ascii="Times New Roman" w:hAnsi="Times New Roman" w:cs="Times New Roman"/>
          <w:sz w:val="24"/>
          <w:lang w:val="fr-FR"/>
        </w:rPr>
      </w:pPr>
      <w:r w:rsidRPr="00C7713E">
        <w:rPr>
          <w:rFonts w:ascii="Times New Roman" w:hAnsi="Times New Roman" w:cs="Times New Roman"/>
          <w:sz w:val="24"/>
          <w:lang w:val="fr-FR"/>
        </w:rPr>
        <w:t xml:space="preserve">5d. </w:t>
      </w:r>
      <w:r w:rsidRPr="00A40B71">
        <w:rPr>
          <w:rFonts w:ascii="Times New Roman" w:hAnsi="Times New Roman" w:cs="Times New Roman"/>
          <w:i/>
          <w:sz w:val="24"/>
          <w:lang w:val="fr-FR"/>
        </w:rPr>
        <w:t>Frais</w:t>
      </w:r>
      <w:r w:rsidR="00AB4998">
        <w:rPr>
          <w:rFonts w:ascii="Times New Roman" w:hAnsi="Times New Roman" w:cs="Times New Roman"/>
          <w:i/>
          <w:sz w:val="24"/>
          <w:lang w:val="fr-FR"/>
        </w:rPr>
        <w:t>/ Coût</w:t>
      </w:r>
      <w:r w:rsidRPr="00C7713E">
        <w:rPr>
          <w:rFonts w:ascii="Times New Roman" w:hAnsi="Times New Roman" w:cs="Times New Roman"/>
          <w:sz w:val="24"/>
          <w:lang w:val="fr-FR"/>
        </w:rPr>
        <w:t xml:space="preserve">. Les frais d’inscription des étudiants devraient être régulièrement revus pour s’assurer qu’ils correspondent à la fois aux besoins financiers du programme </w:t>
      </w:r>
      <w:r w:rsidR="004D1F7F" w:rsidRPr="004D1F7F">
        <w:rPr>
          <w:rFonts w:ascii="Times New Roman" w:hAnsi="Times New Roman" w:cs="Times New Roman"/>
          <w:i/>
          <w:sz w:val="24"/>
          <w:lang w:val="fr-FR"/>
        </w:rPr>
        <w:t>POADE</w:t>
      </w:r>
      <w:r w:rsidR="004D1F7F">
        <w:rPr>
          <w:rFonts w:ascii="Times New Roman" w:hAnsi="Times New Roman" w:cs="Times New Roman"/>
          <w:sz w:val="24"/>
          <w:lang w:val="fr-FR"/>
        </w:rPr>
        <w:t xml:space="preserve"> </w:t>
      </w:r>
      <w:r w:rsidRPr="00C7713E">
        <w:rPr>
          <w:rFonts w:ascii="Times New Roman" w:hAnsi="Times New Roman" w:cs="Times New Roman"/>
          <w:sz w:val="24"/>
          <w:lang w:val="fr-FR"/>
        </w:rPr>
        <w:t>et aux capacités financières des étudiants et de leurs sponsors</w:t>
      </w:r>
      <w:r w:rsidR="00C533C6" w:rsidRPr="00C7713E">
        <w:rPr>
          <w:rFonts w:ascii="Times New Roman" w:hAnsi="Times New Roman" w:cs="Times New Roman"/>
          <w:sz w:val="24"/>
          <w:lang w:val="fr-FR"/>
        </w:rPr>
        <w:t xml:space="preserve">. </w:t>
      </w:r>
    </w:p>
    <w:p w14:paraId="41AA36DB" w14:textId="77777777" w:rsidR="00D515FA" w:rsidRPr="00E808C5" w:rsidRDefault="00D515FA" w:rsidP="00344598">
      <w:pPr>
        <w:rPr>
          <w:rFonts w:ascii="Times New Roman" w:hAnsi="Times New Roman" w:cs="Times New Roman"/>
          <w:sz w:val="24"/>
          <w:lang w:val="fr-FR"/>
        </w:rPr>
      </w:pPr>
    </w:p>
    <w:p w14:paraId="7AD164E5" w14:textId="77777777" w:rsidR="00D515FA" w:rsidRPr="00344598" w:rsidRDefault="00D515FA" w:rsidP="00280334">
      <w:pPr>
        <w:jc w:val="both"/>
        <w:rPr>
          <w:rFonts w:ascii="Cambria" w:hAnsi="Cambria"/>
          <w:sz w:val="24"/>
          <w:szCs w:val="24"/>
          <w:lang w:val="fr-FR"/>
        </w:rPr>
      </w:pPr>
    </w:p>
    <w:sectPr w:rsidR="00D515FA" w:rsidRPr="00344598" w:rsidSect="008660E9">
      <w:footerReference w:type="default" r:id="rId9"/>
      <w:pgSz w:w="11906" w:h="16838"/>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290AF" w14:textId="77777777" w:rsidR="00B57D00" w:rsidRDefault="00B57D00" w:rsidP="00E914B2">
      <w:pPr>
        <w:spacing w:after="0" w:line="240" w:lineRule="auto"/>
      </w:pPr>
      <w:r>
        <w:separator/>
      </w:r>
    </w:p>
  </w:endnote>
  <w:endnote w:type="continuationSeparator" w:id="0">
    <w:p w14:paraId="17C2D388" w14:textId="77777777" w:rsidR="00B57D00" w:rsidRDefault="00B57D00" w:rsidP="00E9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A0D9" w14:textId="36A00DE7" w:rsidR="008660E9" w:rsidRDefault="00B57D00" w:rsidP="008660E9">
    <w:pPr>
      <w:pStyle w:val="Footer"/>
      <w:pBdr>
        <w:top w:val="single" w:sz="4" w:space="1" w:color="D9D9D9" w:themeColor="background1" w:themeShade="D9"/>
      </w:pBdr>
      <w:tabs>
        <w:tab w:val="clear" w:pos="4513"/>
        <w:tab w:val="clear" w:pos="9026"/>
        <w:tab w:val="left" w:pos="1815"/>
      </w:tabs>
      <w:rPr>
        <w:b/>
        <w:bCs/>
      </w:rPr>
    </w:pPr>
    <w:sdt>
      <w:sdtPr>
        <w:id w:val="-1883704166"/>
        <w:docPartObj>
          <w:docPartGallery w:val="Page Numbers (Bottom of Page)"/>
          <w:docPartUnique/>
        </w:docPartObj>
      </w:sdtPr>
      <w:sdtEndPr>
        <w:rPr>
          <w:color w:val="7F7F7F" w:themeColor="background1" w:themeShade="7F"/>
          <w:spacing w:val="60"/>
        </w:rPr>
      </w:sdtEndPr>
      <w:sdtContent>
        <w:r w:rsidR="008660E9">
          <w:fldChar w:fldCharType="begin"/>
        </w:r>
        <w:r w:rsidR="008660E9">
          <w:instrText xml:space="preserve"> PAGE   \* MERGEFORMAT </w:instrText>
        </w:r>
        <w:r w:rsidR="008660E9">
          <w:fldChar w:fldCharType="separate"/>
        </w:r>
        <w:r w:rsidR="004D1F7F" w:rsidRPr="004D1F7F">
          <w:rPr>
            <w:b/>
            <w:bCs/>
            <w:noProof/>
          </w:rPr>
          <w:t>2</w:t>
        </w:r>
        <w:r w:rsidR="008660E9">
          <w:rPr>
            <w:b/>
            <w:bCs/>
            <w:noProof/>
          </w:rPr>
          <w:fldChar w:fldCharType="end"/>
        </w:r>
        <w:r w:rsidR="008660E9">
          <w:rPr>
            <w:b/>
            <w:bCs/>
          </w:rPr>
          <w:t xml:space="preserve"> | </w:t>
        </w:r>
        <w:r w:rsidR="008660E9">
          <w:rPr>
            <w:color w:val="7F7F7F" w:themeColor="background1" w:themeShade="7F"/>
            <w:spacing w:val="60"/>
          </w:rPr>
          <w:t>Page</w:t>
        </w:r>
      </w:sdtContent>
    </w:sdt>
    <w:r w:rsidR="008660E9">
      <w:rPr>
        <w:color w:val="7F7F7F" w:themeColor="background1" w:themeShade="7F"/>
        <w:spacing w:val="60"/>
      </w:rPr>
      <w:tab/>
    </w:r>
    <w:r w:rsidR="008660E9">
      <w:rPr>
        <w:color w:val="7F7F7F" w:themeColor="background1" w:themeShade="7F"/>
        <w:spacing w:val="60"/>
      </w:rPr>
      <w:ptab w:relativeTo="margin" w:alignment="center" w:leader="none"/>
    </w:r>
    <w:r w:rsidR="008660E9" w:rsidRPr="008660E9">
      <w:rPr>
        <w:b/>
        <w:bCs/>
        <w:color w:val="7F7F7F" w:themeColor="background1" w:themeShade="7F"/>
        <w:spacing w:val="60"/>
      </w:rPr>
      <w:t xml:space="preserve"> </w:t>
    </w:r>
    <w:r w:rsidR="008660E9" w:rsidRPr="00B74FAF">
      <w:rPr>
        <w:b/>
        <w:bCs/>
        <w:color w:val="7F7F7F" w:themeColor="background1" w:themeShade="7F"/>
        <w:spacing w:val="60"/>
      </w:rPr>
      <w:t>ACTEA ODeL STANDARDS</w:t>
    </w:r>
  </w:p>
  <w:p w14:paraId="5BC56469" w14:textId="77777777" w:rsidR="00E914B2" w:rsidRDefault="00E9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E0747" w14:textId="77777777" w:rsidR="00B57D00" w:rsidRDefault="00B57D00" w:rsidP="00E914B2">
      <w:pPr>
        <w:spacing w:after="0" w:line="240" w:lineRule="auto"/>
      </w:pPr>
      <w:r>
        <w:separator/>
      </w:r>
    </w:p>
  </w:footnote>
  <w:footnote w:type="continuationSeparator" w:id="0">
    <w:p w14:paraId="4843C467" w14:textId="77777777" w:rsidR="00B57D00" w:rsidRDefault="00B57D00" w:rsidP="00E91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97A"/>
    <w:multiLevelType w:val="hybridMultilevel"/>
    <w:tmpl w:val="1ABA9F60"/>
    <w:lvl w:ilvl="0" w:tplc="04090011">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88A4EC6"/>
    <w:multiLevelType w:val="hybridMultilevel"/>
    <w:tmpl w:val="D038A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383B0C"/>
    <w:multiLevelType w:val="hybridMultilevel"/>
    <w:tmpl w:val="8ED4C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92373"/>
    <w:multiLevelType w:val="hybridMultilevel"/>
    <w:tmpl w:val="8A7AF744"/>
    <w:lvl w:ilvl="0" w:tplc="6E6209D4">
      <w:start w:val="1"/>
      <w:numFmt w:val="lowerLetter"/>
      <w:lvlText w:val="%1."/>
      <w:lvlJc w:val="left"/>
      <w:pPr>
        <w:ind w:left="900" w:hanging="360"/>
      </w:pPr>
      <w:rPr>
        <w:rFonts w:ascii="Times New Roman" w:eastAsiaTheme="minorHAnsi" w:hAnsi="Times New Roman" w:cs="Times New Roman"/>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27646643"/>
    <w:multiLevelType w:val="hybridMultilevel"/>
    <w:tmpl w:val="6BF06AB2"/>
    <w:lvl w:ilvl="0" w:tplc="A63E2B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311EE"/>
    <w:multiLevelType w:val="hybridMultilevel"/>
    <w:tmpl w:val="1ABA9F60"/>
    <w:lvl w:ilvl="0" w:tplc="04090011">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15:restartNumberingAfterBreak="0">
    <w:nsid w:val="4FF35CC1"/>
    <w:multiLevelType w:val="hybridMultilevel"/>
    <w:tmpl w:val="5338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04953"/>
    <w:multiLevelType w:val="hybridMultilevel"/>
    <w:tmpl w:val="68946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49423E"/>
    <w:multiLevelType w:val="hybridMultilevel"/>
    <w:tmpl w:val="75048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71EC3"/>
    <w:multiLevelType w:val="hybridMultilevel"/>
    <w:tmpl w:val="27BE1990"/>
    <w:lvl w:ilvl="0" w:tplc="08090019">
      <w:start w:val="1"/>
      <w:numFmt w:val="lowerLetter"/>
      <w:lvlText w:val="%1."/>
      <w:lvlJc w:val="left"/>
      <w:pPr>
        <w:ind w:left="990" w:hanging="360"/>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6"/>
  </w:num>
  <w:num w:numId="2">
    <w:abstractNumId w:val="3"/>
  </w:num>
  <w:num w:numId="3">
    <w:abstractNumId w:val="4"/>
  </w:num>
  <w:num w:numId="4">
    <w:abstractNumId w:val="8"/>
  </w:num>
  <w:num w:numId="5">
    <w:abstractNumId w:val="2"/>
  </w:num>
  <w:num w:numId="6">
    <w:abstractNumId w:val="1"/>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FA"/>
    <w:rsid w:val="00000187"/>
    <w:rsid w:val="00007E51"/>
    <w:rsid w:val="00012215"/>
    <w:rsid w:val="000202BF"/>
    <w:rsid w:val="00022821"/>
    <w:rsid w:val="00025480"/>
    <w:rsid w:val="00031ACC"/>
    <w:rsid w:val="00034D5E"/>
    <w:rsid w:val="000412BD"/>
    <w:rsid w:val="0004348F"/>
    <w:rsid w:val="00046EC0"/>
    <w:rsid w:val="00054AF8"/>
    <w:rsid w:val="00055BF3"/>
    <w:rsid w:val="00056EB1"/>
    <w:rsid w:val="00060338"/>
    <w:rsid w:val="00067A56"/>
    <w:rsid w:val="000733E0"/>
    <w:rsid w:val="00074D77"/>
    <w:rsid w:val="00080A24"/>
    <w:rsid w:val="00082090"/>
    <w:rsid w:val="00091CFC"/>
    <w:rsid w:val="000928B1"/>
    <w:rsid w:val="000B3C02"/>
    <w:rsid w:val="000B5CD6"/>
    <w:rsid w:val="000B6790"/>
    <w:rsid w:val="000C0A47"/>
    <w:rsid w:val="000C6BEB"/>
    <w:rsid w:val="000D630F"/>
    <w:rsid w:val="000E6F11"/>
    <w:rsid w:val="000E7010"/>
    <w:rsid w:val="001078FF"/>
    <w:rsid w:val="00113504"/>
    <w:rsid w:val="00115437"/>
    <w:rsid w:val="001210C5"/>
    <w:rsid w:val="00124C6B"/>
    <w:rsid w:val="001278BD"/>
    <w:rsid w:val="00127DB8"/>
    <w:rsid w:val="00130354"/>
    <w:rsid w:val="00142C29"/>
    <w:rsid w:val="00142DB5"/>
    <w:rsid w:val="00144DDA"/>
    <w:rsid w:val="00145501"/>
    <w:rsid w:val="00150224"/>
    <w:rsid w:val="001566F0"/>
    <w:rsid w:val="00164290"/>
    <w:rsid w:val="0016601F"/>
    <w:rsid w:val="00171185"/>
    <w:rsid w:val="00183439"/>
    <w:rsid w:val="001844F8"/>
    <w:rsid w:val="00192A17"/>
    <w:rsid w:val="001A0C77"/>
    <w:rsid w:val="001A3D5A"/>
    <w:rsid w:val="001B47A8"/>
    <w:rsid w:val="001C7007"/>
    <w:rsid w:val="001D3715"/>
    <w:rsid w:val="001D48F9"/>
    <w:rsid w:val="00200F05"/>
    <w:rsid w:val="00202C25"/>
    <w:rsid w:val="0021206E"/>
    <w:rsid w:val="00212201"/>
    <w:rsid w:val="00212E8E"/>
    <w:rsid w:val="0023435E"/>
    <w:rsid w:val="00236C5B"/>
    <w:rsid w:val="0024568F"/>
    <w:rsid w:val="00245F0E"/>
    <w:rsid w:val="00247815"/>
    <w:rsid w:val="002514F2"/>
    <w:rsid w:val="00252542"/>
    <w:rsid w:val="0027051D"/>
    <w:rsid w:val="002757A6"/>
    <w:rsid w:val="00277DE3"/>
    <w:rsid w:val="00277FBB"/>
    <w:rsid w:val="00280334"/>
    <w:rsid w:val="002A39EE"/>
    <w:rsid w:val="002A7488"/>
    <w:rsid w:val="002B716E"/>
    <w:rsid w:val="002C3AE4"/>
    <w:rsid w:val="002C7A0B"/>
    <w:rsid w:val="002D1BAA"/>
    <w:rsid w:val="002D4A9B"/>
    <w:rsid w:val="002D79BC"/>
    <w:rsid w:val="002E2076"/>
    <w:rsid w:val="002E63C4"/>
    <w:rsid w:val="002F051F"/>
    <w:rsid w:val="002F3C4A"/>
    <w:rsid w:val="002F7A89"/>
    <w:rsid w:val="00304E5E"/>
    <w:rsid w:val="003162D2"/>
    <w:rsid w:val="00317C62"/>
    <w:rsid w:val="00326454"/>
    <w:rsid w:val="00334F54"/>
    <w:rsid w:val="0033520F"/>
    <w:rsid w:val="00335542"/>
    <w:rsid w:val="00344598"/>
    <w:rsid w:val="00347635"/>
    <w:rsid w:val="00354345"/>
    <w:rsid w:val="00366481"/>
    <w:rsid w:val="00375AE6"/>
    <w:rsid w:val="00375E8A"/>
    <w:rsid w:val="00380500"/>
    <w:rsid w:val="00383968"/>
    <w:rsid w:val="003868A6"/>
    <w:rsid w:val="00395B3A"/>
    <w:rsid w:val="003A09FF"/>
    <w:rsid w:val="003A1B47"/>
    <w:rsid w:val="003B0462"/>
    <w:rsid w:val="003B24A9"/>
    <w:rsid w:val="003B376C"/>
    <w:rsid w:val="003C7673"/>
    <w:rsid w:val="003C7F91"/>
    <w:rsid w:val="003D28F6"/>
    <w:rsid w:val="003D7F9D"/>
    <w:rsid w:val="003E184F"/>
    <w:rsid w:val="003E37DC"/>
    <w:rsid w:val="003E44B8"/>
    <w:rsid w:val="003F210B"/>
    <w:rsid w:val="003F3B4C"/>
    <w:rsid w:val="003F556E"/>
    <w:rsid w:val="00424072"/>
    <w:rsid w:val="00467C7E"/>
    <w:rsid w:val="00485005"/>
    <w:rsid w:val="004A259E"/>
    <w:rsid w:val="004C229A"/>
    <w:rsid w:val="004C2834"/>
    <w:rsid w:val="004C2C94"/>
    <w:rsid w:val="004C4DBE"/>
    <w:rsid w:val="004C6030"/>
    <w:rsid w:val="004C789E"/>
    <w:rsid w:val="004D1F7F"/>
    <w:rsid w:val="004D28FD"/>
    <w:rsid w:val="004D4C57"/>
    <w:rsid w:val="004D7462"/>
    <w:rsid w:val="004D7CFF"/>
    <w:rsid w:val="004E183F"/>
    <w:rsid w:val="004E6F6C"/>
    <w:rsid w:val="004E7B33"/>
    <w:rsid w:val="004E7EF4"/>
    <w:rsid w:val="00500B8A"/>
    <w:rsid w:val="00503027"/>
    <w:rsid w:val="005105FB"/>
    <w:rsid w:val="00511258"/>
    <w:rsid w:val="005156A5"/>
    <w:rsid w:val="005168C5"/>
    <w:rsid w:val="005211F5"/>
    <w:rsid w:val="00523137"/>
    <w:rsid w:val="005310DE"/>
    <w:rsid w:val="00534582"/>
    <w:rsid w:val="005469E7"/>
    <w:rsid w:val="0056237F"/>
    <w:rsid w:val="005653ED"/>
    <w:rsid w:val="00577198"/>
    <w:rsid w:val="005771CE"/>
    <w:rsid w:val="0058038B"/>
    <w:rsid w:val="00593F55"/>
    <w:rsid w:val="00596A1A"/>
    <w:rsid w:val="005A181E"/>
    <w:rsid w:val="005B4F75"/>
    <w:rsid w:val="005B7192"/>
    <w:rsid w:val="005B7E9B"/>
    <w:rsid w:val="005E55F6"/>
    <w:rsid w:val="005E76DC"/>
    <w:rsid w:val="005F21BC"/>
    <w:rsid w:val="005F3ED0"/>
    <w:rsid w:val="005F7650"/>
    <w:rsid w:val="005F7F20"/>
    <w:rsid w:val="0060239B"/>
    <w:rsid w:val="00604BC0"/>
    <w:rsid w:val="00613008"/>
    <w:rsid w:val="0061470F"/>
    <w:rsid w:val="0061693E"/>
    <w:rsid w:val="0063108A"/>
    <w:rsid w:val="006474D5"/>
    <w:rsid w:val="0065784F"/>
    <w:rsid w:val="006624BD"/>
    <w:rsid w:val="00676713"/>
    <w:rsid w:val="0068004D"/>
    <w:rsid w:val="00694AB3"/>
    <w:rsid w:val="00695272"/>
    <w:rsid w:val="006A1944"/>
    <w:rsid w:val="006B2475"/>
    <w:rsid w:val="006B6E4E"/>
    <w:rsid w:val="006C5869"/>
    <w:rsid w:val="006D2E85"/>
    <w:rsid w:val="006E439F"/>
    <w:rsid w:val="00705FBA"/>
    <w:rsid w:val="00707BDF"/>
    <w:rsid w:val="00754DD3"/>
    <w:rsid w:val="0076456F"/>
    <w:rsid w:val="007752E7"/>
    <w:rsid w:val="00784EED"/>
    <w:rsid w:val="0079363C"/>
    <w:rsid w:val="007A7335"/>
    <w:rsid w:val="007B032C"/>
    <w:rsid w:val="007C7405"/>
    <w:rsid w:val="007D7D5C"/>
    <w:rsid w:val="007E134B"/>
    <w:rsid w:val="007E4965"/>
    <w:rsid w:val="007F24FE"/>
    <w:rsid w:val="007F2EA9"/>
    <w:rsid w:val="007F4148"/>
    <w:rsid w:val="007F720A"/>
    <w:rsid w:val="00814768"/>
    <w:rsid w:val="0081680D"/>
    <w:rsid w:val="00820E5C"/>
    <w:rsid w:val="00826D77"/>
    <w:rsid w:val="00826E25"/>
    <w:rsid w:val="00832D43"/>
    <w:rsid w:val="00835795"/>
    <w:rsid w:val="008375B9"/>
    <w:rsid w:val="00841857"/>
    <w:rsid w:val="00842B4E"/>
    <w:rsid w:val="00843636"/>
    <w:rsid w:val="00846354"/>
    <w:rsid w:val="008660E9"/>
    <w:rsid w:val="00880038"/>
    <w:rsid w:val="008904AC"/>
    <w:rsid w:val="008A2CD2"/>
    <w:rsid w:val="008A4040"/>
    <w:rsid w:val="008A77FA"/>
    <w:rsid w:val="008B13D7"/>
    <w:rsid w:val="008B2C4A"/>
    <w:rsid w:val="008D25FE"/>
    <w:rsid w:val="008E0D0B"/>
    <w:rsid w:val="008E4F45"/>
    <w:rsid w:val="008E55F9"/>
    <w:rsid w:val="008E5C76"/>
    <w:rsid w:val="008F2471"/>
    <w:rsid w:val="008F2C9C"/>
    <w:rsid w:val="0090031D"/>
    <w:rsid w:val="00916FC4"/>
    <w:rsid w:val="00922A4B"/>
    <w:rsid w:val="009342B5"/>
    <w:rsid w:val="0093535F"/>
    <w:rsid w:val="0093620C"/>
    <w:rsid w:val="00942FBC"/>
    <w:rsid w:val="00943307"/>
    <w:rsid w:val="00946145"/>
    <w:rsid w:val="00946711"/>
    <w:rsid w:val="00967921"/>
    <w:rsid w:val="00967FFD"/>
    <w:rsid w:val="0097798B"/>
    <w:rsid w:val="00984592"/>
    <w:rsid w:val="00985427"/>
    <w:rsid w:val="009A0C7D"/>
    <w:rsid w:val="009A4061"/>
    <w:rsid w:val="009B2B60"/>
    <w:rsid w:val="009B48A3"/>
    <w:rsid w:val="009B66D8"/>
    <w:rsid w:val="009B7FE5"/>
    <w:rsid w:val="009C534E"/>
    <w:rsid w:val="009D00DC"/>
    <w:rsid w:val="009D0FDD"/>
    <w:rsid w:val="009F5E31"/>
    <w:rsid w:val="009F7D79"/>
    <w:rsid w:val="00A02936"/>
    <w:rsid w:val="00A03745"/>
    <w:rsid w:val="00A11EFC"/>
    <w:rsid w:val="00A12693"/>
    <w:rsid w:val="00A143BD"/>
    <w:rsid w:val="00A14C3B"/>
    <w:rsid w:val="00A21FB3"/>
    <w:rsid w:val="00A27516"/>
    <w:rsid w:val="00A40B71"/>
    <w:rsid w:val="00A46BD2"/>
    <w:rsid w:val="00A50223"/>
    <w:rsid w:val="00A55D88"/>
    <w:rsid w:val="00A577BE"/>
    <w:rsid w:val="00A62183"/>
    <w:rsid w:val="00A62353"/>
    <w:rsid w:val="00A62C29"/>
    <w:rsid w:val="00A674B7"/>
    <w:rsid w:val="00A72AFD"/>
    <w:rsid w:val="00A81916"/>
    <w:rsid w:val="00A85028"/>
    <w:rsid w:val="00AA0A38"/>
    <w:rsid w:val="00AA4DDE"/>
    <w:rsid w:val="00AA66FF"/>
    <w:rsid w:val="00AB20AF"/>
    <w:rsid w:val="00AB4998"/>
    <w:rsid w:val="00AC052C"/>
    <w:rsid w:val="00AC711D"/>
    <w:rsid w:val="00AD310D"/>
    <w:rsid w:val="00AE00F7"/>
    <w:rsid w:val="00AE0C82"/>
    <w:rsid w:val="00AE2F25"/>
    <w:rsid w:val="00AF2DE4"/>
    <w:rsid w:val="00AF4347"/>
    <w:rsid w:val="00B05087"/>
    <w:rsid w:val="00B11979"/>
    <w:rsid w:val="00B12F28"/>
    <w:rsid w:val="00B267B8"/>
    <w:rsid w:val="00B341A3"/>
    <w:rsid w:val="00B43B38"/>
    <w:rsid w:val="00B46A23"/>
    <w:rsid w:val="00B57D00"/>
    <w:rsid w:val="00B62341"/>
    <w:rsid w:val="00B71878"/>
    <w:rsid w:val="00B91C48"/>
    <w:rsid w:val="00B93567"/>
    <w:rsid w:val="00B962DB"/>
    <w:rsid w:val="00BA4A12"/>
    <w:rsid w:val="00BA5768"/>
    <w:rsid w:val="00BA72BF"/>
    <w:rsid w:val="00BC06B2"/>
    <w:rsid w:val="00BC35C4"/>
    <w:rsid w:val="00BD0D31"/>
    <w:rsid w:val="00BD3CD7"/>
    <w:rsid w:val="00BD553B"/>
    <w:rsid w:val="00BE10AB"/>
    <w:rsid w:val="00BE27DD"/>
    <w:rsid w:val="00BE31A9"/>
    <w:rsid w:val="00BE4C30"/>
    <w:rsid w:val="00BE60BD"/>
    <w:rsid w:val="00BE7D0A"/>
    <w:rsid w:val="00BF09AA"/>
    <w:rsid w:val="00C00F22"/>
    <w:rsid w:val="00C06CDA"/>
    <w:rsid w:val="00C07706"/>
    <w:rsid w:val="00C11D01"/>
    <w:rsid w:val="00C250E5"/>
    <w:rsid w:val="00C26D98"/>
    <w:rsid w:val="00C31D87"/>
    <w:rsid w:val="00C34CB8"/>
    <w:rsid w:val="00C421BD"/>
    <w:rsid w:val="00C51BE2"/>
    <w:rsid w:val="00C533C6"/>
    <w:rsid w:val="00C54AC1"/>
    <w:rsid w:val="00C66AA4"/>
    <w:rsid w:val="00C66BA8"/>
    <w:rsid w:val="00C72B59"/>
    <w:rsid w:val="00C7713E"/>
    <w:rsid w:val="00C77894"/>
    <w:rsid w:val="00C82FCD"/>
    <w:rsid w:val="00C84329"/>
    <w:rsid w:val="00C85EE8"/>
    <w:rsid w:val="00C94B21"/>
    <w:rsid w:val="00CB0A30"/>
    <w:rsid w:val="00CC28DB"/>
    <w:rsid w:val="00CC47A5"/>
    <w:rsid w:val="00CD2008"/>
    <w:rsid w:val="00CD64E0"/>
    <w:rsid w:val="00CD698A"/>
    <w:rsid w:val="00CE01F3"/>
    <w:rsid w:val="00CE0600"/>
    <w:rsid w:val="00CE47CD"/>
    <w:rsid w:val="00D07530"/>
    <w:rsid w:val="00D1783B"/>
    <w:rsid w:val="00D32C50"/>
    <w:rsid w:val="00D41679"/>
    <w:rsid w:val="00D47750"/>
    <w:rsid w:val="00D515FA"/>
    <w:rsid w:val="00D54CB2"/>
    <w:rsid w:val="00D67C9B"/>
    <w:rsid w:val="00D75293"/>
    <w:rsid w:val="00D82407"/>
    <w:rsid w:val="00D9253D"/>
    <w:rsid w:val="00DA0EA9"/>
    <w:rsid w:val="00DB027F"/>
    <w:rsid w:val="00DB370F"/>
    <w:rsid w:val="00DC2BA8"/>
    <w:rsid w:val="00DC7F72"/>
    <w:rsid w:val="00DD0CDA"/>
    <w:rsid w:val="00DD6F5C"/>
    <w:rsid w:val="00DE5618"/>
    <w:rsid w:val="00DF6B27"/>
    <w:rsid w:val="00E01D6E"/>
    <w:rsid w:val="00E04A67"/>
    <w:rsid w:val="00E163D4"/>
    <w:rsid w:val="00E17441"/>
    <w:rsid w:val="00E3348C"/>
    <w:rsid w:val="00E344E0"/>
    <w:rsid w:val="00E421C6"/>
    <w:rsid w:val="00E42C80"/>
    <w:rsid w:val="00E44F0D"/>
    <w:rsid w:val="00E46C93"/>
    <w:rsid w:val="00E60347"/>
    <w:rsid w:val="00E67D45"/>
    <w:rsid w:val="00E808C5"/>
    <w:rsid w:val="00E8178A"/>
    <w:rsid w:val="00E82491"/>
    <w:rsid w:val="00E833ED"/>
    <w:rsid w:val="00E83AD3"/>
    <w:rsid w:val="00E83FE1"/>
    <w:rsid w:val="00E87F28"/>
    <w:rsid w:val="00E909EC"/>
    <w:rsid w:val="00E914B2"/>
    <w:rsid w:val="00E978F7"/>
    <w:rsid w:val="00EA0DFB"/>
    <w:rsid w:val="00EA7DC6"/>
    <w:rsid w:val="00EB3155"/>
    <w:rsid w:val="00EE108E"/>
    <w:rsid w:val="00EE322E"/>
    <w:rsid w:val="00EE354B"/>
    <w:rsid w:val="00EE56A8"/>
    <w:rsid w:val="00EF6578"/>
    <w:rsid w:val="00EF7395"/>
    <w:rsid w:val="00F12C7F"/>
    <w:rsid w:val="00F14A22"/>
    <w:rsid w:val="00F17C8B"/>
    <w:rsid w:val="00F23BBA"/>
    <w:rsid w:val="00F31C52"/>
    <w:rsid w:val="00F50E0E"/>
    <w:rsid w:val="00F55B63"/>
    <w:rsid w:val="00F57178"/>
    <w:rsid w:val="00F62355"/>
    <w:rsid w:val="00F70E13"/>
    <w:rsid w:val="00F73110"/>
    <w:rsid w:val="00F83E08"/>
    <w:rsid w:val="00F8575C"/>
    <w:rsid w:val="00F85AF3"/>
    <w:rsid w:val="00F95DD8"/>
    <w:rsid w:val="00FA39BD"/>
    <w:rsid w:val="00FA668E"/>
    <w:rsid w:val="00FD1D3B"/>
    <w:rsid w:val="00FD7853"/>
    <w:rsid w:val="00FE0697"/>
    <w:rsid w:val="00FF4C8E"/>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8F79"/>
  <w15:docId w15:val="{E3F11B45-D887-440B-BCFF-56BBC26D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0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515FA"/>
    <w:pPr>
      <w:spacing w:before="120" w:after="0" w:line="240" w:lineRule="auto"/>
    </w:pPr>
    <w:rPr>
      <w:rFonts w:ascii="Courier New" w:eastAsia="Times New Roman" w:hAnsi="Courier New" w:cstheme="majorBidi"/>
      <w:sz w:val="20"/>
      <w:szCs w:val="24"/>
    </w:rPr>
  </w:style>
  <w:style w:type="character" w:customStyle="1" w:styleId="PlainTextChar">
    <w:name w:val="Plain Text Char"/>
    <w:basedOn w:val="DefaultParagraphFont"/>
    <w:link w:val="PlainText"/>
    <w:uiPriority w:val="99"/>
    <w:rsid w:val="00D515FA"/>
    <w:rPr>
      <w:rFonts w:ascii="Courier New" w:eastAsia="Times New Roman" w:hAnsi="Courier New" w:cstheme="majorBidi"/>
      <w:sz w:val="20"/>
      <w:szCs w:val="24"/>
    </w:rPr>
  </w:style>
  <w:style w:type="paragraph" w:styleId="BalloonText">
    <w:name w:val="Balloon Text"/>
    <w:basedOn w:val="Normal"/>
    <w:link w:val="BalloonTextChar"/>
    <w:uiPriority w:val="99"/>
    <w:semiHidden/>
    <w:unhideWhenUsed/>
    <w:rsid w:val="00D51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FA"/>
    <w:rPr>
      <w:rFonts w:ascii="Segoe UI" w:hAnsi="Segoe UI" w:cs="Segoe UI"/>
      <w:sz w:val="18"/>
      <w:szCs w:val="18"/>
    </w:rPr>
  </w:style>
  <w:style w:type="table" w:styleId="TableGrid">
    <w:name w:val="Table Grid"/>
    <w:basedOn w:val="TableNormal"/>
    <w:uiPriority w:val="59"/>
    <w:rsid w:val="00D5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5FA"/>
    <w:pPr>
      <w:ind w:left="720"/>
      <w:contextualSpacing/>
    </w:pPr>
  </w:style>
  <w:style w:type="paragraph" w:styleId="Header">
    <w:name w:val="header"/>
    <w:basedOn w:val="Normal"/>
    <w:link w:val="HeaderChar"/>
    <w:uiPriority w:val="99"/>
    <w:unhideWhenUsed/>
    <w:rsid w:val="00E9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B2"/>
  </w:style>
  <w:style w:type="paragraph" w:styleId="Footer">
    <w:name w:val="footer"/>
    <w:basedOn w:val="Normal"/>
    <w:link w:val="FooterChar"/>
    <w:uiPriority w:val="99"/>
    <w:unhideWhenUsed/>
    <w:rsid w:val="00E9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B2"/>
  </w:style>
  <w:style w:type="paragraph" w:styleId="CommentText">
    <w:name w:val="annotation text"/>
    <w:basedOn w:val="Normal"/>
    <w:link w:val="CommentTextChar"/>
    <w:uiPriority w:val="99"/>
    <w:semiHidden/>
    <w:unhideWhenUsed/>
    <w:rsid w:val="00142C29"/>
    <w:pPr>
      <w:spacing w:line="240" w:lineRule="auto"/>
    </w:pPr>
    <w:rPr>
      <w:sz w:val="20"/>
      <w:szCs w:val="20"/>
    </w:rPr>
  </w:style>
  <w:style w:type="character" w:customStyle="1" w:styleId="CommentTextChar">
    <w:name w:val="Comment Text Char"/>
    <w:basedOn w:val="DefaultParagraphFont"/>
    <w:link w:val="CommentText"/>
    <w:uiPriority w:val="99"/>
    <w:semiHidden/>
    <w:rsid w:val="00142C29"/>
    <w:rPr>
      <w:sz w:val="20"/>
      <w:szCs w:val="20"/>
    </w:rPr>
  </w:style>
  <w:style w:type="character" w:styleId="CommentReference">
    <w:name w:val="annotation reference"/>
    <w:basedOn w:val="DefaultParagraphFont"/>
    <w:uiPriority w:val="99"/>
    <w:semiHidden/>
    <w:unhideWhenUsed/>
    <w:rsid w:val="000B5CD6"/>
    <w:rPr>
      <w:sz w:val="16"/>
      <w:szCs w:val="16"/>
    </w:rPr>
  </w:style>
  <w:style w:type="paragraph" w:styleId="CommentSubject">
    <w:name w:val="annotation subject"/>
    <w:basedOn w:val="CommentText"/>
    <w:next w:val="CommentText"/>
    <w:link w:val="CommentSubjectChar"/>
    <w:uiPriority w:val="99"/>
    <w:semiHidden/>
    <w:unhideWhenUsed/>
    <w:rsid w:val="000B5CD6"/>
    <w:rPr>
      <w:b/>
      <w:bCs/>
    </w:rPr>
  </w:style>
  <w:style w:type="character" w:customStyle="1" w:styleId="CommentSubjectChar">
    <w:name w:val="Comment Subject Char"/>
    <w:basedOn w:val="CommentTextChar"/>
    <w:link w:val="CommentSubject"/>
    <w:uiPriority w:val="99"/>
    <w:semiHidden/>
    <w:rsid w:val="000B5CD6"/>
    <w:rPr>
      <w:b/>
      <w:bCs/>
      <w:sz w:val="20"/>
      <w:szCs w:val="20"/>
    </w:rPr>
  </w:style>
  <w:style w:type="paragraph" w:styleId="FootnoteText">
    <w:name w:val="footnote text"/>
    <w:basedOn w:val="Normal"/>
    <w:link w:val="FootnoteTextChar"/>
    <w:uiPriority w:val="99"/>
    <w:semiHidden/>
    <w:unhideWhenUsed/>
    <w:rsid w:val="00784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EED"/>
    <w:rPr>
      <w:sz w:val="20"/>
      <w:szCs w:val="20"/>
    </w:rPr>
  </w:style>
  <w:style w:type="character" w:styleId="FootnoteReference">
    <w:name w:val="footnote reference"/>
    <w:basedOn w:val="DefaultParagraphFont"/>
    <w:uiPriority w:val="99"/>
    <w:semiHidden/>
    <w:unhideWhenUsed/>
    <w:rsid w:val="00784EED"/>
    <w:rPr>
      <w:vertAlign w:val="superscript"/>
    </w:rPr>
  </w:style>
  <w:style w:type="paragraph" w:customStyle="1" w:styleId="m-5214816847189225371msolistparagraph">
    <w:name w:val="m_-5214816847189225371msolistparagraph"/>
    <w:basedOn w:val="Normal"/>
    <w:rsid w:val="00CD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660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60E9"/>
    <w:pPr>
      <w:outlineLvl w:val="9"/>
    </w:pPr>
    <w:rPr>
      <w:lang w:val="en-US"/>
    </w:rPr>
  </w:style>
  <w:style w:type="character" w:customStyle="1" w:styleId="Heading2Char">
    <w:name w:val="Heading 2 Char"/>
    <w:basedOn w:val="DefaultParagraphFont"/>
    <w:link w:val="Heading2"/>
    <w:uiPriority w:val="9"/>
    <w:rsid w:val="008660E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660E9"/>
    <w:pPr>
      <w:spacing w:after="100"/>
    </w:pPr>
  </w:style>
  <w:style w:type="paragraph" w:styleId="TOC2">
    <w:name w:val="toc 2"/>
    <w:basedOn w:val="Normal"/>
    <w:next w:val="Normal"/>
    <w:autoRedefine/>
    <w:uiPriority w:val="39"/>
    <w:unhideWhenUsed/>
    <w:rsid w:val="008660E9"/>
    <w:pPr>
      <w:spacing w:after="100"/>
      <w:ind w:left="220"/>
    </w:pPr>
  </w:style>
  <w:style w:type="character" w:styleId="Hyperlink">
    <w:name w:val="Hyperlink"/>
    <w:basedOn w:val="DefaultParagraphFont"/>
    <w:uiPriority w:val="99"/>
    <w:unhideWhenUsed/>
    <w:rsid w:val="00866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2985-7350-461F-984D-835D9329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Tarus</dc:creator>
  <cp:keywords/>
  <dc:description/>
  <cp:lastModifiedBy>Eloi S. DOGUE</cp:lastModifiedBy>
  <cp:revision>9</cp:revision>
  <cp:lastPrinted>2020-11-30T08:19:00Z</cp:lastPrinted>
  <dcterms:created xsi:type="dcterms:W3CDTF">2020-11-30T08:45:00Z</dcterms:created>
  <dcterms:modified xsi:type="dcterms:W3CDTF">2021-05-06T07:11:00Z</dcterms:modified>
</cp:coreProperties>
</file>